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B0DEC4F">
      <w:pPr>
        <w:spacing w:line="360" w:lineRule="auto"/>
        <w:ind w:right="-57" w:rightChars="-27"/>
        <w:jc w:val="center"/>
        <w:rPr>
          <w:rFonts w:hint="eastAsia" w:ascii="宋体" w:hAnsi="宋体" w:cs="宋体"/>
          <w:b/>
          <w:bCs/>
          <w:sz w:val="32"/>
          <w:szCs w:val="32"/>
          <w:lang w:eastAsia="zh-CN"/>
        </w:rPr>
      </w:pPr>
      <w:bookmarkStart w:id="0" w:name="_GoBack"/>
      <w:r>
        <w:rPr>
          <w:rFonts w:hint="eastAsia" w:ascii="宋体" w:hAnsi="宋体" w:eastAsia="宋体" w:cs="宋体"/>
          <w:b/>
          <w:bCs/>
          <w:sz w:val="32"/>
          <w:szCs w:val="32"/>
        </w:rPr>
        <w:t>山东电子职业技术学</w:t>
      </w:r>
      <w:r>
        <w:rPr>
          <w:rFonts w:hint="eastAsia" w:ascii="宋体" w:hAnsi="宋体" w:cs="宋体"/>
          <w:b/>
          <w:bCs/>
          <w:sz w:val="32"/>
          <w:szCs w:val="32"/>
          <w:lang w:eastAsia="zh-CN"/>
        </w:rPr>
        <w:t>院</w:t>
      </w:r>
    </w:p>
    <w:p w14:paraId="5A87E630">
      <w:pPr>
        <w:spacing w:line="360" w:lineRule="auto"/>
        <w:ind w:right="-57" w:rightChars="-27"/>
        <w:jc w:val="center"/>
        <w:rPr>
          <w:rFonts w:hint="eastAsia" w:ascii="宋体" w:hAnsi="宋体" w:eastAsia="宋体" w:cs="宋体"/>
          <w:b/>
          <w:bCs/>
          <w:sz w:val="32"/>
          <w:szCs w:val="32"/>
        </w:rPr>
      </w:pPr>
      <w:r>
        <w:rPr>
          <w:rFonts w:hint="eastAsia" w:ascii="宋体" w:hAnsi="宋体" w:eastAsia="宋体" w:cs="宋体"/>
          <w:b/>
          <w:bCs/>
          <w:sz w:val="32"/>
          <w:szCs w:val="32"/>
        </w:rPr>
        <w:t>（2025年教学能力比赛培训</w:t>
      </w:r>
      <w:r>
        <w:rPr>
          <w:rFonts w:hint="eastAsia" w:ascii="宋体" w:hAnsi="宋体" w:cs="宋体"/>
          <w:b/>
          <w:bCs/>
          <w:sz w:val="32"/>
          <w:szCs w:val="32"/>
          <w:lang w:eastAsia="zh-CN"/>
        </w:rPr>
        <w:t>指导</w:t>
      </w:r>
      <w:r>
        <w:rPr>
          <w:rFonts w:hint="eastAsia" w:ascii="宋体" w:hAnsi="宋体" w:eastAsia="宋体" w:cs="宋体"/>
          <w:b/>
          <w:bCs/>
          <w:sz w:val="32"/>
          <w:szCs w:val="32"/>
        </w:rPr>
        <w:t>服务项目）需求明细表</w:t>
      </w:r>
    </w:p>
    <w:bookmarkEnd w:id="0"/>
    <w:tbl>
      <w:tblPr>
        <w:tblStyle w:val="2"/>
        <w:tblW w:w="10037" w:type="dxa"/>
        <w:tblInd w:w="-78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4"/>
        <w:gridCol w:w="1296"/>
        <w:gridCol w:w="4513"/>
        <w:gridCol w:w="846"/>
        <w:gridCol w:w="818"/>
        <w:gridCol w:w="845"/>
        <w:gridCol w:w="955"/>
      </w:tblGrid>
      <w:tr w14:paraId="06AED0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64" w:type="dxa"/>
            <w:vAlign w:val="center"/>
          </w:tcPr>
          <w:p w14:paraId="76928FA2">
            <w:pPr>
              <w:spacing w:line="380" w:lineRule="exact"/>
              <w:ind w:right="-57" w:rightChars="-27"/>
              <w:jc w:val="center"/>
              <w:rPr>
                <w:rFonts w:hint="eastAsia" w:ascii="宋体" w:hAnsi="宋体"/>
                <w:bCs/>
                <w:sz w:val="24"/>
                <w:szCs w:val="24"/>
              </w:rPr>
            </w:pPr>
            <w:r>
              <w:rPr>
                <w:rFonts w:hint="eastAsia" w:ascii="宋体" w:hAnsi="宋体"/>
                <w:bCs/>
                <w:sz w:val="24"/>
                <w:szCs w:val="24"/>
              </w:rPr>
              <w:t>序号</w:t>
            </w:r>
          </w:p>
        </w:tc>
        <w:tc>
          <w:tcPr>
            <w:tcW w:w="1296" w:type="dxa"/>
            <w:vAlign w:val="center"/>
          </w:tcPr>
          <w:p w14:paraId="049AD7B8">
            <w:pPr>
              <w:spacing w:line="380" w:lineRule="exact"/>
              <w:ind w:right="-57" w:rightChars="-27"/>
              <w:jc w:val="center"/>
              <w:rPr>
                <w:rFonts w:hint="eastAsia" w:ascii="宋体" w:hAnsi="宋体"/>
                <w:bCs/>
                <w:sz w:val="24"/>
                <w:szCs w:val="24"/>
              </w:rPr>
            </w:pPr>
            <w:r>
              <w:rPr>
                <w:rFonts w:hint="eastAsia" w:ascii="宋体" w:hAnsi="宋体"/>
                <w:bCs/>
                <w:sz w:val="24"/>
                <w:szCs w:val="24"/>
              </w:rPr>
              <w:t>分项名称</w:t>
            </w:r>
          </w:p>
        </w:tc>
        <w:tc>
          <w:tcPr>
            <w:tcW w:w="4513" w:type="dxa"/>
            <w:vAlign w:val="center"/>
          </w:tcPr>
          <w:p w14:paraId="3BF28D57">
            <w:pPr>
              <w:spacing w:line="380" w:lineRule="exact"/>
              <w:ind w:right="-57" w:rightChars="-27"/>
              <w:jc w:val="center"/>
              <w:rPr>
                <w:rFonts w:hint="eastAsia" w:ascii="宋体" w:hAnsi="宋体"/>
                <w:bCs/>
                <w:sz w:val="24"/>
                <w:szCs w:val="24"/>
              </w:rPr>
            </w:pPr>
            <w:r>
              <w:rPr>
                <w:rFonts w:hint="eastAsia" w:ascii="宋体" w:hAnsi="宋体"/>
                <w:bCs/>
                <w:sz w:val="24"/>
                <w:szCs w:val="24"/>
              </w:rPr>
              <w:t>质量要求</w:t>
            </w:r>
          </w:p>
        </w:tc>
        <w:tc>
          <w:tcPr>
            <w:tcW w:w="846" w:type="dxa"/>
            <w:vAlign w:val="center"/>
          </w:tcPr>
          <w:p w14:paraId="6DA5D15B">
            <w:pPr>
              <w:spacing w:line="380" w:lineRule="exact"/>
              <w:ind w:right="-57" w:rightChars="-27"/>
              <w:jc w:val="center"/>
              <w:rPr>
                <w:rFonts w:hint="eastAsia" w:ascii="宋体" w:hAnsi="宋体"/>
                <w:bCs/>
                <w:sz w:val="24"/>
                <w:szCs w:val="24"/>
              </w:rPr>
            </w:pPr>
            <w:r>
              <w:rPr>
                <w:rFonts w:hint="eastAsia" w:ascii="宋体" w:hAnsi="宋体"/>
                <w:bCs/>
                <w:sz w:val="24"/>
                <w:szCs w:val="24"/>
              </w:rPr>
              <w:t>数量</w:t>
            </w:r>
          </w:p>
        </w:tc>
        <w:tc>
          <w:tcPr>
            <w:tcW w:w="818" w:type="dxa"/>
            <w:vAlign w:val="center"/>
          </w:tcPr>
          <w:p w14:paraId="4ECF35FC">
            <w:pPr>
              <w:spacing w:line="380" w:lineRule="exact"/>
              <w:ind w:right="-57" w:rightChars="-27"/>
              <w:jc w:val="center"/>
              <w:rPr>
                <w:rFonts w:hint="eastAsia" w:ascii="宋体" w:hAnsi="宋体"/>
                <w:bCs/>
                <w:sz w:val="24"/>
                <w:szCs w:val="24"/>
              </w:rPr>
            </w:pPr>
            <w:r>
              <w:rPr>
                <w:rFonts w:hint="eastAsia" w:ascii="宋体" w:hAnsi="宋体"/>
                <w:bCs/>
                <w:sz w:val="24"/>
                <w:szCs w:val="24"/>
              </w:rPr>
              <w:t>单位</w:t>
            </w:r>
          </w:p>
        </w:tc>
        <w:tc>
          <w:tcPr>
            <w:tcW w:w="845" w:type="dxa"/>
            <w:vAlign w:val="center"/>
          </w:tcPr>
          <w:p w14:paraId="120F3A88">
            <w:pPr>
              <w:spacing w:line="380" w:lineRule="exact"/>
              <w:ind w:right="-57" w:rightChars="-27"/>
              <w:jc w:val="center"/>
              <w:rPr>
                <w:rFonts w:hint="eastAsia" w:ascii="宋体" w:hAnsi="宋体"/>
                <w:bCs/>
                <w:sz w:val="24"/>
                <w:szCs w:val="24"/>
              </w:rPr>
            </w:pPr>
            <w:r>
              <w:rPr>
                <w:rFonts w:hint="eastAsia" w:ascii="宋体" w:hAnsi="宋体"/>
                <w:bCs/>
                <w:sz w:val="24"/>
                <w:szCs w:val="24"/>
              </w:rPr>
              <w:t>单价</w:t>
            </w:r>
          </w:p>
        </w:tc>
        <w:tc>
          <w:tcPr>
            <w:tcW w:w="955" w:type="dxa"/>
            <w:vAlign w:val="center"/>
          </w:tcPr>
          <w:p w14:paraId="170A7491">
            <w:pPr>
              <w:spacing w:line="380" w:lineRule="exact"/>
              <w:ind w:right="-57" w:rightChars="-27"/>
              <w:jc w:val="center"/>
              <w:rPr>
                <w:rFonts w:hint="eastAsia" w:ascii="宋体" w:hAnsi="宋体"/>
                <w:bCs/>
                <w:sz w:val="24"/>
                <w:szCs w:val="24"/>
              </w:rPr>
            </w:pPr>
            <w:r>
              <w:rPr>
                <w:rFonts w:hint="eastAsia" w:ascii="宋体" w:hAnsi="宋体"/>
                <w:bCs/>
                <w:sz w:val="24"/>
                <w:szCs w:val="24"/>
              </w:rPr>
              <w:t>小计</w:t>
            </w:r>
          </w:p>
        </w:tc>
      </w:tr>
      <w:tr w14:paraId="46F290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64" w:type="dxa"/>
            <w:tcBorders>
              <w:top w:val="single" w:color="auto" w:sz="4" w:space="0"/>
              <w:left w:val="single" w:color="auto" w:sz="4" w:space="0"/>
              <w:bottom w:val="single" w:color="auto" w:sz="4" w:space="0"/>
              <w:right w:val="single" w:color="auto" w:sz="4" w:space="0"/>
            </w:tcBorders>
            <w:vAlign w:val="center"/>
          </w:tcPr>
          <w:p w14:paraId="0C361A55">
            <w:pPr>
              <w:spacing w:line="380" w:lineRule="exact"/>
              <w:ind w:right="-57" w:rightChars="-27"/>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1</w:t>
            </w:r>
          </w:p>
        </w:tc>
        <w:tc>
          <w:tcPr>
            <w:tcW w:w="1296" w:type="dxa"/>
            <w:tcBorders>
              <w:top w:val="single" w:color="auto" w:sz="4" w:space="0"/>
              <w:left w:val="single" w:color="auto" w:sz="4" w:space="0"/>
              <w:bottom w:val="single" w:color="auto" w:sz="4" w:space="0"/>
              <w:right w:val="single" w:color="auto" w:sz="4" w:space="0"/>
            </w:tcBorders>
            <w:vAlign w:val="center"/>
          </w:tcPr>
          <w:p w14:paraId="7C971A1E">
            <w:pPr>
              <w:spacing w:line="380" w:lineRule="exact"/>
              <w:ind w:right="-57" w:rightChars="-27"/>
              <w:jc w:val="center"/>
              <w:rPr>
                <w:rFonts w:hint="eastAsia" w:ascii="仿宋_GB2312" w:hAnsi="仿宋_GB2312" w:eastAsia="仿宋_GB2312" w:cs="仿宋_GB2312"/>
                <w:bCs/>
                <w:sz w:val="24"/>
                <w:szCs w:val="24"/>
              </w:rPr>
            </w:pPr>
            <w:r>
              <w:rPr>
                <w:rFonts w:hint="eastAsia" w:ascii="仿宋_GB2312" w:hAnsi="仿宋_GB2312" w:eastAsia="仿宋_GB2312" w:cs="仿宋_GB2312"/>
                <w:sz w:val="24"/>
                <w:szCs w:val="24"/>
              </w:rPr>
              <w:t>课程设计</w:t>
            </w:r>
            <w:r>
              <w:rPr>
                <w:rFonts w:hint="eastAsia" w:ascii="仿宋_GB2312" w:hAnsi="仿宋_GB2312" w:eastAsia="仿宋_GB2312" w:cs="仿宋_GB2312"/>
                <w:sz w:val="24"/>
                <w:szCs w:val="24"/>
                <w:lang w:eastAsia="zh-CN"/>
              </w:rPr>
              <w:t>培训</w:t>
            </w:r>
            <w:r>
              <w:rPr>
                <w:rFonts w:hint="eastAsia" w:ascii="仿宋_GB2312" w:hAnsi="仿宋_GB2312" w:eastAsia="仿宋_GB2312" w:cs="仿宋_GB2312"/>
                <w:sz w:val="24"/>
                <w:szCs w:val="24"/>
              </w:rPr>
              <w:t>指导</w:t>
            </w:r>
          </w:p>
        </w:tc>
        <w:tc>
          <w:tcPr>
            <w:tcW w:w="4513" w:type="dxa"/>
            <w:tcBorders>
              <w:top w:val="single" w:color="auto" w:sz="4" w:space="0"/>
              <w:left w:val="single" w:color="auto" w:sz="4" w:space="0"/>
              <w:bottom w:val="single" w:color="auto" w:sz="4" w:space="0"/>
              <w:right w:val="single" w:color="auto" w:sz="4" w:space="0"/>
            </w:tcBorders>
            <w:vAlign w:val="center"/>
          </w:tcPr>
          <w:p w14:paraId="1292AC2A">
            <w:pPr>
              <w:numPr>
                <w:ilvl w:val="0"/>
                <w:numId w:val="1"/>
              </w:numPr>
              <w:spacing w:line="380" w:lineRule="exact"/>
              <w:ind w:right="-57" w:rightChars="-27"/>
              <w:jc w:val="left"/>
              <w:rPr>
                <w:rFonts w:hint="default" w:ascii="仿宋_GB2312" w:hAnsi="仿宋_GB2312" w:eastAsia="仿宋_GB2312" w:cs="仿宋_GB2312"/>
                <w:bCs/>
                <w:sz w:val="24"/>
                <w:szCs w:val="24"/>
                <w:lang w:val="en-US" w:eastAsia="zh-CN"/>
              </w:rPr>
            </w:pPr>
            <w:r>
              <w:rPr>
                <w:rFonts w:hint="eastAsia" w:ascii="仿宋_GB2312" w:hAnsi="仿宋_GB2312" w:eastAsia="仿宋_GB2312" w:cs="仿宋_GB2312"/>
                <w:bCs/>
                <w:sz w:val="24"/>
                <w:szCs w:val="24"/>
                <w:lang w:val="en-US" w:eastAsia="zh-CN"/>
              </w:rPr>
              <w:t>依据省赛标准，聘请国赛专家对整个课程建设框架及设计思路进行审核与指导，全程一对一（包括网评阶段和现场决赛阶段）对课程、教学、场景拍摄、拍摄脚本等课程设计与制作过程进行指导并模拟现场决赛进行实施报告讲解、无学生教学展示、答辩等演练，根据作品需要，每个作品不低于8次指导，每次不少于1个小时。2.对照在线精品课程及“金课”建设标准，聘请国赛专家对课程建设相关资源进行优化指导，包括课程能力图谱梳理、课程相应教学单元的设计优化，教案优化及排版、美化等相关指导。</w:t>
            </w:r>
          </w:p>
        </w:tc>
        <w:tc>
          <w:tcPr>
            <w:tcW w:w="846" w:type="dxa"/>
            <w:tcBorders>
              <w:top w:val="single" w:color="auto" w:sz="4" w:space="0"/>
              <w:left w:val="single" w:color="auto" w:sz="4" w:space="0"/>
              <w:bottom w:val="single" w:color="auto" w:sz="4" w:space="0"/>
              <w:right w:val="single" w:color="auto" w:sz="4" w:space="0"/>
            </w:tcBorders>
            <w:vAlign w:val="center"/>
          </w:tcPr>
          <w:p w14:paraId="0519D97E">
            <w:pPr>
              <w:spacing w:line="380" w:lineRule="exact"/>
              <w:ind w:right="-57" w:rightChars="-27"/>
              <w:jc w:val="center"/>
              <w:rPr>
                <w:rFonts w:hint="eastAsia" w:ascii="仿宋_GB2312" w:hAnsi="仿宋_GB2312" w:eastAsia="仿宋_GB2312" w:cs="仿宋_GB2312"/>
                <w:bCs/>
                <w:sz w:val="24"/>
                <w:szCs w:val="24"/>
              </w:rPr>
            </w:pPr>
            <w:r>
              <w:rPr>
                <w:rFonts w:hint="eastAsia" w:ascii="仿宋_GB2312" w:hAnsi="仿宋_GB2312" w:eastAsia="仿宋_GB2312" w:cs="仿宋_GB2312"/>
                <w:color w:val="000000"/>
                <w:sz w:val="24"/>
                <w:szCs w:val="24"/>
              </w:rPr>
              <w:t>4</w:t>
            </w:r>
          </w:p>
        </w:tc>
        <w:tc>
          <w:tcPr>
            <w:tcW w:w="818" w:type="dxa"/>
            <w:tcBorders>
              <w:top w:val="single" w:color="auto" w:sz="4" w:space="0"/>
              <w:left w:val="single" w:color="auto" w:sz="4" w:space="0"/>
              <w:bottom w:val="single" w:color="auto" w:sz="4" w:space="0"/>
              <w:right w:val="single" w:color="auto" w:sz="4" w:space="0"/>
            </w:tcBorders>
            <w:vAlign w:val="center"/>
          </w:tcPr>
          <w:p w14:paraId="09D5FBDB">
            <w:pPr>
              <w:spacing w:line="380" w:lineRule="exact"/>
              <w:ind w:right="-57" w:rightChars="-27"/>
              <w:jc w:val="center"/>
              <w:rPr>
                <w:rFonts w:hint="eastAsia" w:ascii="仿宋_GB2312" w:hAnsi="仿宋_GB2312" w:eastAsia="仿宋_GB2312" w:cs="仿宋_GB2312"/>
                <w:bCs/>
                <w:sz w:val="24"/>
                <w:szCs w:val="24"/>
              </w:rPr>
            </w:pPr>
            <w:r>
              <w:rPr>
                <w:rFonts w:hint="eastAsia" w:ascii="仿宋_GB2312" w:hAnsi="仿宋_GB2312" w:eastAsia="仿宋_GB2312" w:cs="仿宋_GB2312"/>
                <w:color w:val="000000"/>
                <w:sz w:val="24"/>
                <w:szCs w:val="24"/>
              </w:rPr>
              <w:t>门</w:t>
            </w:r>
          </w:p>
        </w:tc>
        <w:tc>
          <w:tcPr>
            <w:tcW w:w="845" w:type="dxa"/>
            <w:tcBorders>
              <w:top w:val="single" w:color="auto" w:sz="4" w:space="0"/>
              <w:left w:val="single" w:color="auto" w:sz="4" w:space="0"/>
              <w:bottom w:val="single" w:color="auto" w:sz="4" w:space="0"/>
              <w:right w:val="single" w:color="auto" w:sz="4" w:space="0"/>
            </w:tcBorders>
            <w:vAlign w:val="center"/>
          </w:tcPr>
          <w:p w14:paraId="5BDA8D26">
            <w:pPr>
              <w:spacing w:line="380" w:lineRule="exact"/>
              <w:ind w:right="-57" w:rightChars="-27"/>
              <w:jc w:val="center"/>
              <w:rPr>
                <w:rFonts w:hint="eastAsia" w:ascii="仿宋_GB2312" w:hAnsi="仿宋_GB2312" w:eastAsia="仿宋_GB2312" w:cs="仿宋_GB2312"/>
                <w:bCs/>
                <w:sz w:val="24"/>
                <w:szCs w:val="24"/>
              </w:rPr>
            </w:pPr>
            <w:r>
              <w:rPr>
                <w:rFonts w:hint="eastAsia" w:ascii="仿宋_GB2312" w:hAnsi="仿宋_GB2312" w:eastAsia="仿宋_GB2312" w:cs="仿宋_GB2312"/>
                <w:color w:val="000000"/>
                <w:sz w:val="24"/>
                <w:szCs w:val="24"/>
              </w:rPr>
              <w:t>10000</w:t>
            </w:r>
          </w:p>
        </w:tc>
        <w:tc>
          <w:tcPr>
            <w:tcW w:w="955" w:type="dxa"/>
            <w:tcBorders>
              <w:top w:val="single" w:color="auto" w:sz="4" w:space="0"/>
              <w:left w:val="single" w:color="auto" w:sz="4" w:space="0"/>
              <w:bottom w:val="single" w:color="auto" w:sz="4" w:space="0"/>
              <w:right w:val="single" w:color="auto" w:sz="4" w:space="0"/>
            </w:tcBorders>
            <w:vAlign w:val="center"/>
          </w:tcPr>
          <w:p w14:paraId="11DD9A78">
            <w:pPr>
              <w:spacing w:line="380" w:lineRule="exact"/>
              <w:ind w:right="-57" w:rightChars="-27"/>
              <w:jc w:val="center"/>
              <w:rPr>
                <w:rFonts w:hint="eastAsia" w:ascii="仿宋_GB2312" w:hAnsi="仿宋_GB2312" w:eastAsia="仿宋_GB2312" w:cs="仿宋_GB2312"/>
                <w:bCs/>
                <w:sz w:val="24"/>
                <w:szCs w:val="24"/>
              </w:rPr>
            </w:pPr>
            <w:r>
              <w:rPr>
                <w:rFonts w:hint="eastAsia" w:ascii="仿宋_GB2312" w:hAnsi="仿宋_GB2312" w:eastAsia="仿宋_GB2312" w:cs="仿宋_GB2312"/>
                <w:color w:val="000000"/>
                <w:sz w:val="24"/>
                <w:szCs w:val="24"/>
              </w:rPr>
              <w:t>40000</w:t>
            </w:r>
          </w:p>
        </w:tc>
      </w:tr>
      <w:tr w14:paraId="23B076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64" w:type="dxa"/>
            <w:tcBorders>
              <w:top w:val="single" w:color="auto" w:sz="4" w:space="0"/>
              <w:left w:val="single" w:color="auto" w:sz="4" w:space="0"/>
              <w:bottom w:val="single" w:color="auto" w:sz="4" w:space="0"/>
              <w:right w:val="single" w:color="auto" w:sz="4" w:space="0"/>
            </w:tcBorders>
            <w:vAlign w:val="center"/>
          </w:tcPr>
          <w:p w14:paraId="7004A702">
            <w:pPr>
              <w:spacing w:line="380" w:lineRule="exact"/>
              <w:ind w:right="-57" w:rightChars="-27"/>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2</w:t>
            </w:r>
          </w:p>
        </w:tc>
        <w:tc>
          <w:tcPr>
            <w:tcW w:w="1296" w:type="dxa"/>
            <w:tcBorders>
              <w:top w:val="single" w:color="auto" w:sz="4" w:space="0"/>
              <w:left w:val="single" w:color="auto" w:sz="4" w:space="0"/>
              <w:bottom w:val="single" w:color="auto" w:sz="4" w:space="0"/>
              <w:right w:val="single" w:color="auto" w:sz="4" w:space="0"/>
            </w:tcBorders>
            <w:vAlign w:val="center"/>
          </w:tcPr>
          <w:p w14:paraId="5D3521A0">
            <w:pPr>
              <w:spacing w:line="380" w:lineRule="exact"/>
              <w:ind w:right="-57" w:rightChars="-27"/>
              <w:jc w:val="center"/>
              <w:rPr>
                <w:rFonts w:hint="eastAsia" w:ascii="仿宋_GB2312" w:hAnsi="仿宋_GB2312" w:eastAsia="仿宋_GB2312" w:cs="仿宋_GB2312"/>
                <w:bCs/>
                <w:sz w:val="24"/>
                <w:szCs w:val="24"/>
              </w:rPr>
            </w:pPr>
            <w:r>
              <w:rPr>
                <w:rFonts w:hint="eastAsia" w:ascii="仿宋_GB2312" w:hAnsi="仿宋_GB2312" w:eastAsia="仿宋_GB2312" w:cs="仿宋_GB2312"/>
                <w:sz w:val="24"/>
                <w:szCs w:val="24"/>
              </w:rPr>
              <w:t>人培、课标、教材选用说明规范</w:t>
            </w:r>
            <w:r>
              <w:rPr>
                <w:rFonts w:hint="eastAsia" w:ascii="仿宋_GB2312" w:hAnsi="仿宋_GB2312" w:eastAsia="仿宋_GB2312" w:cs="仿宋_GB2312"/>
                <w:sz w:val="24"/>
                <w:szCs w:val="24"/>
                <w:lang w:eastAsia="zh-CN"/>
              </w:rPr>
              <w:t>编制培训指导</w:t>
            </w:r>
          </w:p>
        </w:tc>
        <w:tc>
          <w:tcPr>
            <w:tcW w:w="4513" w:type="dxa"/>
            <w:tcBorders>
              <w:top w:val="single" w:color="auto" w:sz="4" w:space="0"/>
              <w:left w:val="single" w:color="auto" w:sz="4" w:space="0"/>
              <w:bottom w:val="single" w:color="auto" w:sz="4" w:space="0"/>
              <w:right w:val="single" w:color="auto" w:sz="4" w:space="0"/>
            </w:tcBorders>
            <w:vAlign w:val="center"/>
          </w:tcPr>
          <w:p w14:paraId="4D4F94AA">
            <w:pPr>
              <w:spacing w:line="380" w:lineRule="exact"/>
              <w:ind w:right="-57" w:rightChars="-27"/>
              <w:jc w:val="left"/>
              <w:rPr>
                <w:rFonts w:hint="default" w:ascii="仿宋_GB2312" w:hAnsi="仿宋_GB2312" w:eastAsia="仿宋_GB2312" w:cs="仿宋_GB2312"/>
                <w:bCs/>
                <w:sz w:val="24"/>
                <w:szCs w:val="24"/>
                <w:lang w:val="en-US" w:eastAsia="zh-CN"/>
              </w:rPr>
            </w:pPr>
            <w:r>
              <w:rPr>
                <w:rFonts w:hint="eastAsia" w:ascii="仿宋_GB2312" w:hAnsi="仿宋_GB2312" w:eastAsia="仿宋_GB2312" w:cs="仿宋_GB2312"/>
                <w:bCs/>
                <w:sz w:val="24"/>
                <w:szCs w:val="24"/>
                <w:lang w:val="en-US" w:eastAsia="zh-CN"/>
              </w:rPr>
              <w:t>针对各参赛团队提供的教案、人才培养方案，组织国赛专家与省/国赛赛项方案内容逐项对比。针对赛项中的内容、要求，为课程参赛团队开展专项解读，对文件内容合规性、文件内容完整性、文件图表准确性、文件整体逻辑性等内容，根据赛项要求，说明问题描述并给出明确的修改建议。</w:t>
            </w:r>
          </w:p>
        </w:tc>
        <w:tc>
          <w:tcPr>
            <w:tcW w:w="846" w:type="dxa"/>
            <w:tcBorders>
              <w:top w:val="single" w:color="auto" w:sz="4" w:space="0"/>
              <w:left w:val="single" w:color="auto" w:sz="4" w:space="0"/>
              <w:bottom w:val="single" w:color="auto" w:sz="4" w:space="0"/>
              <w:right w:val="single" w:color="auto" w:sz="4" w:space="0"/>
            </w:tcBorders>
            <w:vAlign w:val="center"/>
          </w:tcPr>
          <w:p w14:paraId="34B0B4DF">
            <w:pPr>
              <w:spacing w:line="380" w:lineRule="exact"/>
              <w:ind w:right="-57" w:rightChars="-27"/>
              <w:jc w:val="center"/>
              <w:rPr>
                <w:rFonts w:hint="eastAsia" w:ascii="仿宋_GB2312" w:hAnsi="仿宋_GB2312" w:eastAsia="仿宋_GB2312" w:cs="仿宋_GB2312"/>
                <w:bCs/>
                <w:sz w:val="24"/>
                <w:szCs w:val="24"/>
              </w:rPr>
            </w:pPr>
            <w:r>
              <w:rPr>
                <w:rFonts w:hint="eastAsia" w:ascii="仿宋_GB2312" w:hAnsi="仿宋_GB2312" w:eastAsia="仿宋_GB2312" w:cs="仿宋_GB2312"/>
                <w:color w:val="000000"/>
                <w:sz w:val="24"/>
                <w:szCs w:val="24"/>
              </w:rPr>
              <w:t>12</w:t>
            </w:r>
          </w:p>
        </w:tc>
        <w:tc>
          <w:tcPr>
            <w:tcW w:w="818" w:type="dxa"/>
            <w:tcBorders>
              <w:top w:val="single" w:color="auto" w:sz="4" w:space="0"/>
              <w:left w:val="single" w:color="auto" w:sz="4" w:space="0"/>
              <w:bottom w:val="single" w:color="auto" w:sz="4" w:space="0"/>
              <w:right w:val="single" w:color="auto" w:sz="4" w:space="0"/>
            </w:tcBorders>
            <w:vAlign w:val="center"/>
          </w:tcPr>
          <w:p w14:paraId="7904AB92">
            <w:pPr>
              <w:spacing w:line="380" w:lineRule="exact"/>
              <w:ind w:right="-57" w:rightChars="-27"/>
              <w:jc w:val="center"/>
              <w:rPr>
                <w:rFonts w:hint="eastAsia" w:ascii="仿宋_GB2312" w:hAnsi="仿宋_GB2312" w:eastAsia="仿宋_GB2312" w:cs="仿宋_GB2312"/>
                <w:bCs/>
                <w:sz w:val="24"/>
                <w:szCs w:val="24"/>
              </w:rPr>
            </w:pPr>
            <w:r>
              <w:rPr>
                <w:rFonts w:hint="eastAsia" w:ascii="仿宋_GB2312" w:hAnsi="仿宋_GB2312" w:eastAsia="仿宋_GB2312" w:cs="仿宋_GB2312"/>
                <w:color w:val="000000"/>
                <w:sz w:val="24"/>
                <w:szCs w:val="24"/>
              </w:rPr>
              <w:t>个</w:t>
            </w:r>
          </w:p>
        </w:tc>
        <w:tc>
          <w:tcPr>
            <w:tcW w:w="845" w:type="dxa"/>
            <w:tcBorders>
              <w:top w:val="single" w:color="auto" w:sz="4" w:space="0"/>
              <w:left w:val="single" w:color="auto" w:sz="4" w:space="0"/>
              <w:bottom w:val="single" w:color="auto" w:sz="4" w:space="0"/>
              <w:right w:val="single" w:color="auto" w:sz="4" w:space="0"/>
            </w:tcBorders>
            <w:vAlign w:val="center"/>
          </w:tcPr>
          <w:p w14:paraId="614B5DC2">
            <w:pPr>
              <w:spacing w:line="380" w:lineRule="exact"/>
              <w:ind w:right="-57" w:rightChars="-27"/>
              <w:jc w:val="center"/>
              <w:rPr>
                <w:rFonts w:hint="eastAsia" w:ascii="仿宋_GB2312" w:hAnsi="仿宋_GB2312" w:eastAsia="仿宋_GB2312" w:cs="仿宋_GB2312"/>
                <w:bCs/>
                <w:sz w:val="24"/>
                <w:szCs w:val="24"/>
              </w:rPr>
            </w:pPr>
            <w:r>
              <w:rPr>
                <w:rFonts w:hint="eastAsia" w:ascii="仿宋_GB2312" w:hAnsi="仿宋_GB2312" w:eastAsia="仿宋_GB2312" w:cs="仿宋_GB2312"/>
                <w:color w:val="000000"/>
                <w:sz w:val="24"/>
                <w:szCs w:val="24"/>
              </w:rPr>
              <w:t>500</w:t>
            </w:r>
          </w:p>
        </w:tc>
        <w:tc>
          <w:tcPr>
            <w:tcW w:w="955" w:type="dxa"/>
            <w:tcBorders>
              <w:top w:val="single" w:color="auto" w:sz="4" w:space="0"/>
              <w:left w:val="single" w:color="auto" w:sz="4" w:space="0"/>
              <w:bottom w:val="single" w:color="auto" w:sz="4" w:space="0"/>
              <w:right w:val="single" w:color="auto" w:sz="4" w:space="0"/>
            </w:tcBorders>
            <w:vAlign w:val="center"/>
          </w:tcPr>
          <w:p w14:paraId="3061A75A">
            <w:pPr>
              <w:spacing w:line="380" w:lineRule="exact"/>
              <w:ind w:right="-57" w:rightChars="-27"/>
              <w:jc w:val="center"/>
              <w:rPr>
                <w:rFonts w:hint="eastAsia" w:ascii="仿宋_GB2312" w:hAnsi="仿宋_GB2312" w:eastAsia="仿宋_GB2312" w:cs="仿宋_GB2312"/>
                <w:bCs/>
                <w:sz w:val="24"/>
                <w:szCs w:val="24"/>
              </w:rPr>
            </w:pPr>
            <w:r>
              <w:rPr>
                <w:rFonts w:hint="eastAsia" w:ascii="仿宋_GB2312" w:hAnsi="仿宋_GB2312" w:eastAsia="仿宋_GB2312" w:cs="仿宋_GB2312"/>
                <w:color w:val="000000"/>
                <w:sz w:val="24"/>
                <w:szCs w:val="24"/>
              </w:rPr>
              <w:t>6000</w:t>
            </w:r>
          </w:p>
        </w:tc>
      </w:tr>
      <w:tr w14:paraId="1BFE74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64" w:type="dxa"/>
            <w:tcBorders>
              <w:top w:val="single" w:color="auto" w:sz="4" w:space="0"/>
              <w:left w:val="single" w:color="auto" w:sz="4" w:space="0"/>
              <w:bottom w:val="single" w:color="auto" w:sz="4" w:space="0"/>
              <w:right w:val="single" w:color="auto" w:sz="4" w:space="0"/>
            </w:tcBorders>
            <w:vAlign w:val="center"/>
          </w:tcPr>
          <w:p w14:paraId="09B0CDF8">
            <w:pPr>
              <w:spacing w:line="380" w:lineRule="exact"/>
              <w:ind w:right="-57" w:rightChars="-27"/>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3</w:t>
            </w:r>
          </w:p>
        </w:tc>
        <w:tc>
          <w:tcPr>
            <w:tcW w:w="1296" w:type="dxa"/>
            <w:tcBorders>
              <w:top w:val="single" w:color="auto" w:sz="4" w:space="0"/>
              <w:left w:val="single" w:color="auto" w:sz="4" w:space="0"/>
              <w:bottom w:val="single" w:color="auto" w:sz="4" w:space="0"/>
              <w:right w:val="single" w:color="auto" w:sz="4" w:space="0"/>
            </w:tcBorders>
            <w:vAlign w:val="center"/>
          </w:tcPr>
          <w:p w14:paraId="440AF329">
            <w:pPr>
              <w:spacing w:line="380" w:lineRule="exact"/>
              <w:ind w:right="-57" w:rightChars="-27"/>
              <w:jc w:val="center"/>
              <w:rPr>
                <w:rFonts w:hint="eastAsia" w:ascii="仿宋_GB2312" w:hAnsi="仿宋_GB2312" w:eastAsia="仿宋_GB2312" w:cs="仿宋_GB2312"/>
                <w:bCs/>
                <w:sz w:val="24"/>
                <w:szCs w:val="24"/>
              </w:rPr>
            </w:pPr>
            <w:r>
              <w:rPr>
                <w:rFonts w:hint="eastAsia" w:ascii="仿宋_GB2312" w:hAnsi="仿宋_GB2312" w:eastAsia="仿宋_GB2312" w:cs="仿宋_GB2312"/>
                <w:color w:val="000000"/>
                <w:kern w:val="0"/>
                <w:sz w:val="24"/>
                <w:szCs w:val="24"/>
                <w:shd w:val="clear" w:color="auto" w:fill="FFFFFF"/>
              </w:rPr>
              <w:t>实施报告编写</w:t>
            </w:r>
            <w:r>
              <w:rPr>
                <w:rFonts w:hint="eastAsia" w:ascii="仿宋_GB2312" w:hAnsi="仿宋_GB2312" w:eastAsia="仿宋_GB2312" w:cs="仿宋_GB2312"/>
                <w:color w:val="000000"/>
                <w:kern w:val="0"/>
                <w:sz w:val="24"/>
                <w:szCs w:val="24"/>
                <w:shd w:val="clear" w:color="auto" w:fill="FFFFFF"/>
                <w:lang w:eastAsia="zh-CN"/>
              </w:rPr>
              <w:t>培训</w:t>
            </w:r>
            <w:r>
              <w:rPr>
                <w:rFonts w:hint="eastAsia" w:ascii="仿宋_GB2312" w:hAnsi="仿宋_GB2312" w:eastAsia="仿宋_GB2312" w:cs="仿宋_GB2312"/>
                <w:color w:val="000000"/>
                <w:kern w:val="0"/>
                <w:sz w:val="24"/>
                <w:szCs w:val="24"/>
                <w:shd w:val="clear" w:color="auto" w:fill="FFFFFF"/>
              </w:rPr>
              <w:t>指导</w:t>
            </w:r>
          </w:p>
        </w:tc>
        <w:tc>
          <w:tcPr>
            <w:tcW w:w="4513" w:type="dxa"/>
            <w:tcBorders>
              <w:top w:val="single" w:color="auto" w:sz="4" w:space="0"/>
              <w:left w:val="single" w:color="auto" w:sz="4" w:space="0"/>
              <w:bottom w:val="single" w:color="auto" w:sz="4" w:space="0"/>
              <w:right w:val="single" w:color="auto" w:sz="4" w:space="0"/>
            </w:tcBorders>
            <w:vAlign w:val="center"/>
          </w:tcPr>
          <w:p w14:paraId="676EED6A">
            <w:pPr>
              <w:spacing w:line="380" w:lineRule="exact"/>
              <w:ind w:right="-57" w:rightChars="-27"/>
              <w:jc w:val="left"/>
              <w:rPr>
                <w:rFonts w:hint="default" w:ascii="仿宋_GB2312" w:hAnsi="仿宋_GB2312" w:eastAsia="仿宋_GB2312" w:cs="仿宋_GB2312"/>
                <w:bCs/>
                <w:sz w:val="24"/>
                <w:szCs w:val="24"/>
                <w:lang w:val="en-US" w:eastAsia="zh-CN"/>
              </w:rPr>
            </w:pPr>
            <w:r>
              <w:rPr>
                <w:rFonts w:hint="eastAsia" w:ascii="仿宋_GB2312" w:hAnsi="仿宋_GB2312" w:eastAsia="仿宋_GB2312" w:cs="仿宋_GB2312"/>
                <w:bCs/>
                <w:sz w:val="24"/>
                <w:szCs w:val="24"/>
                <w:lang w:val="en-US" w:eastAsia="zh-CN"/>
              </w:rPr>
              <w:t>针对各参赛团队提供的实施报告与课程设计，组织国赛专家与省/国赛赛项方案内容逐项对比。针对赛项中的内容、要求，为课程参赛团队开展专项解读，对文件内容合规性、文件内容完整性、文件图表准确性、文件整体逻辑性等内容，根据赛项要求，说明问题描述并给出明确的修改建议。要求：</w:t>
            </w:r>
          </w:p>
          <w:p w14:paraId="561A03C1">
            <w:pPr>
              <w:spacing w:line="380" w:lineRule="exact"/>
              <w:ind w:right="-57" w:rightChars="-27"/>
              <w:jc w:val="left"/>
              <w:rPr>
                <w:rFonts w:hint="default" w:ascii="仿宋_GB2312" w:hAnsi="仿宋_GB2312" w:eastAsia="仿宋_GB2312" w:cs="仿宋_GB2312"/>
                <w:bCs/>
                <w:sz w:val="24"/>
                <w:szCs w:val="24"/>
                <w:lang w:val="en-US" w:eastAsia="zh-CN"/>
              </w:rPr>
            </w:pPr>
            <w:r>
              <w:rPr>
                <w:rFonts w:hint="eastAsia" w:ascii="仿宋_GB2312" w:hAnsi="仿宋_GB2312" w:eastAsia="仿宋_GB2312" w:cs="仿宋_GB2312"/>
                <w:bCs/>
                <w:sz w:val="24"/>
                <w:szCs w:val="24"/>
                <w:lang w:val="en-US" w:eastAsia="zh-CN"/>
              </w:rPr>
              <w:t>1.</w:t>
            </w:r>
            <w:r>
              <w:rPr>
                <w:rFonts w:hint="default" w:ascii="仿宋_GB2312" w:hAnsi="仿宋_GB2312" w:eastAsia="仿宋_GB2312" w:cs="仿宋_GB2312"/>
                <w:bCs/>
                <w:sz w:val="24"/>
                <w:szCs w:val="24"/>
                <w:lang w:val="en-US" w:eastAsia="zh-CN"/>
              </w:rPr>
              <w:t>有机融入思想政治教育元素，落实课程思政要求，及时反应相关领域产业升级的新技术、新工艺、新规范。结合课程特点有机融入劳动教育内容。</w:t>
            </w:r>
          </w:p>
          <w:p w14:paraId="4D83A923">
            <w:pPr>
              <w:spacing w:line="380" w:lineRule="exact"/>
              <w:ind w:right="-57" w:rightChars="-27"/>
              <w:jc w:val="left"/>
              <w:rPr>
                <w:rFonts w:hint="default" w:ascii="仿宋_GB2312" w:hAnsi="仿宋_GB2312" w:eastAsia="仿宋_GB2312" w:cs="仿宋_GB2312"/>
                <w:bCs/>
                <w:sz w:val="24"/>
                <w:szCs w:val="24"/>
                <w:lang w:val="en-US" w:eastAsia="zh-CN"/>
              </w:rPr>
            </w:pPr>
            <w:r>
              <w:rPr>
                <w:rFonts w:hint="default" w:ascii="仿宋_GB2312" w:hAnsi="仿宋_GB2312" w:eastAsia="仿宋_GB2312" w:cs="仿宋_GB2312"/>
                <w:bCs/>
                <w:sz w:val="24"/>
                <w:szCs w:val="24"/>
                <w:lang w:val="en-US" w:eastAsia="zh-CN"/>
              </w:rPr>
              <w:t>2.开展劳动精神、劳模精神、工匠精神专题教育。针对基于职业工作过程建设模块化课程的需求，优化教学内容。</w:t>
            </w:r>
          </w:p>
        </w:tc>
        <w:tc>
          <w:tcPr>
            <w:tcW w:w="846" w:type="dxa"/>
            <w:tcBorders>
              <w:top w:val="single" w:color="auto" w:sz="4" w:space="0"/>
              <w:left w:val="single" w:color="auto" w:sz="4" w:space="0"/>
              <w:bottom w:val="single" w:color="auto" w:sz="4" w:space="0"/>
              <w:right w:val="single" w:color="auto" w:sz="4" w:space="0"/>
            </w:tcBorders>
            <w:vAlign w:val="center"/>
          </w:tcPr>
          <w:p w14:paraId="70E54108">
            <w:pPr>
              <w:spacing w:line="380" w:lineRule="exact"/>
              <w:ind w:right="-57" w:rightChars="-27"/>
              <w:jc w:val="center"/>
              <w:rPr>
                <w:rFonts w:hint="eastAsia" w:ascii="仿宋_GB2312" w:hAnsi="仿宋_GB2312" w:eastAsia="仿宋_GB2312" w:cs="仿宋_GB2312"/>
                <w:bCs/>
                <w:sz w:val="24"/>
                <w:szCs w:val="24"/>
              </w:rPr>
            </w:pPr>
            <w:r>
              <w:rPr>
                <w:rFonts w:hint="eastAsia" w:ascii="仿宋_GB2312" w:hAnsi="仿宋_GB2312" w:eastAsia="仿宋_GB2312" w:cs="仿宋_GB2312"/>
                <w:color w:val="000000"/>
                <w:sz w:val="24"/>
                <w:szCs w:val="24"/>
              </w:rPr>
              <w:t>4</w:t>
            </w:r>
          </w:p>
        </w:tc>
        <w:tc>
          <w:tcPr>
            <w:tcW w:w="818" w:type="dxa"/>
            <w:tcBorders>
              <w:top w:val="single" w:color="auto" w:sz="4" w:space="0"/>
              <w:left w:val="single" w:color="auto" w:sz="4" w:space="0"/>
              <w:bottom w:val="single" w:color="auto" w:sz="4" w:space="0"/>
              <w:right w:val="single" w:color="auto" w:sz="4" w:space="0"/>
            </w:tcBorders>
            <w:vAlign w:val="center"/>
          </w:tcPr>
          <w:p w14:paraId="7BE710EB">
            <w:pPr>
              <w:spacing w:line="380" w:lineRule="exact"/>
              <w:ind w:right="-57" w:rightChars="-27"/>
              <w:jc w:val="center"/>
              <w:rPr>
                <w:rFonts w:hint="eastAsia" w:ascii="仿宋_GB2312" w:hAnsi="仿宋_GB2312" w:eastAsia="仿宋_GB2312" w:cs="仿宋_GB2312"/>
                <w:bCs/>
                <w:sz w:val="24"/>
                <w:szCs w:val="24"/>
              </w:rPr>
            </w:pPr>
            <w:r>
              <w:rPr>
                <w:rFonts w:hint="eastAsia" w:ascii="仿宋_GB2312" w:hAnsi="仿宋_GB2312" w:eastAsia="仿宋_GB2312" w:cs="仿宋_GB2312"/>
                <w:color w:val="000000"/>
                <w:sz w:val="24"/>
                <w:szCs w:val="24"/>
              </w:rPr>
              <w:t>门</w:t>
            </w:r>
          </w:p>
        </w:tc>
        <w:tc>
          <w:tcPr>
            <w:tcW w:w="845" w:type="dxa"/>
            <w:tcBorders>
              <w:top w:val="single" w:color="auto" w:sz="4" w:space="0"/>
              <w:left w:val="single" w:color="auto" w:sz="4" w:space="0"/>
              <w:bottom w:val="single" w:color="auto" w:sz="4" w:space="0"/>
              <w:right w:val="single" w:color="auto" w:sz="4" w:space="0"/>
            </w:tcBorders>
            <w:vAlign w:val="center"/>
          </w:tcPr>
          <w:p w14:paraId="021D3F63">
            <w:pPr>
              <w:spacing w:line="380" w:lineRule="exact"/>
              <w:ind w:right="-57" w:rightChars="-27"/>
              <w:jc w:val="center"/>
              <w:rPr>
                <w:rFonts w:hint="eastAsia" w:ascii="仿宋_GB2312" w:hAnsi="仿宋_GB2312" w:eastAsia="仿宋_GB2312" w:cs="仿宋_GB2312"/>
                <w:bCs/>
                <w:sz w:val="24"/>
                <w:szCs w:val="24"/>
              </w:rPr>
            </w:pPr>
            <w:r>
              <w:rPr>
                <w:rFonts w:hint="eastAsia" w:ascii="仿宋_GB2312" w:hAnsi="仿宋_GB2312" w:eastAsia="仿宋_GB2312" w:cs="仿宋_GB2312"/>
                <w:color w:val="000000"/>
                <w:sz w:val="24"/>
                <w:szCs w:val="24"/>
              </w:rPr>
              <w:t>10000</w:t>
            </w:r>
          </w:p>
        </w:tc>
        <w:tc>
          <w:tcPr>
            <w:tcW w:w="955" w:type="dxa"/>
            <w:tcBorders>
              <w:top w:val="single" w:color="auto" w:sz="4" w:space="0"/>
              <w:left w:val="single" w:color="auto" w:sz="4" w:space="0"/>
              <w:bottom w:val="single" w:color="auto" w:sz="4" w:space="0"/>
              <w:right w:val="single" w:color="auto" w:sz="4" w:space="0"/>
            </w:tcBorders>
            <w:vAlign w:val="center"/>
          </w:tcPr>
          <w:p w14:paraId="5B5D37B2">
            <w:pPr>
              <w:spacing w:line="380" w:lineRule="exact"/>
              <w:ind w:right="-57" w:rightChars="-27"/>
              <w:jc w:val="center"/>
              <w:rPr>
                <w:rFonts w:hint="eastAsia" w:ascii="仿宋_GB2312" w:hAnsi="仿宋_GB2312" w:eastAsia="仿宋_GB2312" w:cs="仿宋_GB2312"/>
                <w:bCs/>
                <w:sz w:val="24"/>
                <w:szCs w:val="24"/>
              </w:rPr>
            </w:pPr>
            <w:r>
              <w:rPr>
                <w:rFonts w:hint="eastAsia" w:ascii="仿宋_GB2312" w:hAnsi="仿宋_GB2312" w:eastAsia="仿宋_GB2312" w:cs="仿宋_GB2312"/>
                <w:color w:val="000000"/>
                <w:sz w:val="24"/>
                <w:szCs w:val="24"/>
              </w:rPr>
              <w:t>40000</w:t>
            </w:r>
          </w:p>
        </w:tc>
      </w:tr>
      <w:tr w14:paraId="4E6D43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64" w:type="dxa"/>
            <w:tcBorders>
              <w:top w:val="single" w:color="auto" w:sz="4" w:space="0"/>
              <w:left w:val="single" w:color="auto" w:sz="4" w:space="0"/>
              <w:bottom w:val="single" w:color="auto" w:sz="4" w:space="0"/>
              <w:right w:val="single" w:color="auto" w:sz="4" w:space="0"/>
            </w:tcBorders>
            <w:vAlign w:val="center"/>
          </w:tcPr>
          <w:p w14:paraId="61CAE261">
            <w:pPr>
              <w:spacing w:line="380" w:lineRule="exact"/>
              <w:ind w:right="-57" w:rightChars="-27"/>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4</w:t>
            </w:r>
          </w:p>
        </w:tc>
        <w:tc>
          <w:tcPr>
            <w:tcW w:w="1296" w:type="dxa"/>
            <w:tcBorders>
              <w:top w:val="single" w:color="auto" w:sz="4" w:space="0"/>
              <w:left w:val="single" w:color="auto" w:sz="4" w:space="0"/>
              <w:bottom w:val="single" w:color="auto" w:sz="4" w:space="0"/>
              <w:right w:val="single" w:color="auto" w:sz="4" w:space="0"/>
            </w:tcBorders>
            <w:vAlign w:val="center"/>
          </w:tcPr>
          <w:p w14:paraId="201A7DFA">
            <w:pPr>
              <w:spacing w:line="380" w:lineRule="exact"/>
              <w:ind w:right="-57" w:rightChars="-27"/>
              <w:jc w:val="center"/>
              <w:rPr>
                <w:rFonts w:hint="eastAsia" w:ascii="仿宋_GB2312" w:hAnsi="仿宋_GB2312" w:eastAsia="仿宋_GB2312" w:cs="仿宋_GB2312"/>
                <w:bCs/>
                <w:sz w:val="24"/>
                <w:szCs w:val="24"/>
              </w:rPr>
            </w:pPr>
            <w:r>
              <w:rPr>
                <w:rFonts w:hint="eastAsia" w:ascii="仿宋_GB2312" w:hAnsi="仿宋_GB2312" w:eastAsia="仿宋_GB2312" w:cs="仿宋_GB2312"/>
                <w:color w:val="000000"/>
                <w:kern w:val="0"/>
                <w:sz w:val="24"/>
                <w:szCs w:val="24"/>
                <w:shd w:val="clear" w:color="auto" w:fill="FFFFFF"/>
              </w:rPr>
              <w:t>教案设计编写</w:t>
            </w:r>
            <w:r>
              <w:rPr>
                <w:rFonts w:hint="eastAsia" w:ascii="仿宋_GB2312" w:hAnsi="仿宋_GB2312" w:eastAsia="仿宋_GB2312" w:cs="仿宋_GB2312"/>
                <w:color w:val="000000"/>
                <w:kern w:val="0"/>
                <w:sz w:val="24"/>
                <w:szCs w:val="24"/>
                <w:shd w:val="clear" w:color="auto" w:fill="FFFFFF"/>
                <w:lang w:eastAsia="zh-CN"/>
              </w:rPr>
              <w:t>培训</w:t>
            </w:r>
            <w:r>
              <w:rPr>
                <w:rFonts w:hint="eastAsia" w:ascii="仿宋_GB2312" w:hAnsi="仿宋_GB2312" w:eastAsia="仿宋_GB2312" w:cs="仿宋_GB2312"/>
                <w:color w:val="000000"/>
                <w:kern w:val="0"/>
                <w:sz w:val="24"/>
                <w:szCs w:val="24"/>
                <w:shd w:val="clear" w:color="auto" w:fill="FFFFFF"/>
              </w:rPr>
              <w:t>指导</w:t>
            </w:r>
          </w:p>
        </w:tc>
        <w:tc>
          <w:tcPr>
            <w:tcW w:w="4513" w:type="dxa"/>
            <w:tcBorders>
              <w:top w:val="single" w:color="auto" w:sz="4" w:space="0"/>
              <w:left w:val="single" w:color="auto" w:sz="4" w:space="0"/>
              <w:bottom w:val="single" w:color="auto" w:sz="4" w:space="0"/>
              <w:right w:val="single" w:color="auto" w:sz="4" w:space="0"/>
            </w:tcBorders>
            <w:vAlign w:val="center"/>
          </w:tcPr>
          <w:p w14:paraId="67494AB3">
            <w:pPr>
              <w:spacing w:line="380" w:lineRule="exact"/>
              <w:ind w:right="-57" w:rightChars="-27"/>
              <w:jc w:val="left"/>
              <w:rPr>
                <w:rFonts w:hint="default" w:ascii="仿宋_GB2312" w:hAnsi="仿宋_GB2312" w:eastAsia="仿宋_GB2312" w:cs="仿宋_GB2312"/>
                <w:bCs/>
                <w:sz w:val="24"/>
                <w:szCs w:val="24"/>
                <w:lang w:val="en-US" w:eastAsia="zh-CN"/>
              </w:rPr>
            </w:pPr>
            <w:r>
              <w:rPr>
                <w:rFonts w:hint="eastAsia" w:ascii="仿宋_GB2312" w:hAnsi="仿宋_GB2312" w:eastAsia="仿宋_GB2312" w:cs="仿宋_GB2312"/>
                <w:bCs/>
                <w:sz w:val="24"/>
                <w:szCs w:val="24"/>
                <w:lang w:val="en-US" w:eastAsia="zh-CN"/>
              </w:rPr>
              <w:t>针对各参赛团队提供的教案设计，组织国赛专家与省/国赛赛项方案内容逐项对比。针对赛项中的内容、要求，为课程参赛团队开展专项解读，对文件内容合规性、文件内容完整性、文件图表准确性、文件整体逻辑性等内容，根据赛项要求，说明问题描述并给出明确的修改建议。要求：</w:t>
            </w:r>
          </w:p>
          <w:p w14:paraId="293FBA09">
            <w:pPr>
              <w:spacing w:line="380" w:lineRule="exact"/>
              <w:ind w:right="-57" w:rightChars="-27"/>
              <w:jc w:val="left"/>
              <w:rPr>
                <w:rFonts w:hint="default" w:ascii="仿宋_GB2312" w:hAnsi="仿宋_GB2312" w:eastAsia="仿宋_GB2312" w:cs="仿宋_GB2312"/>
                <w:bCs/>
                <w:sz w:val="24"/>
                <w:szCs w:val="24"/>
                <w:lang w:val="en-US" w:eastAsia="zh-CN"/>
              </w:rPr>
            </w:pPr>
            <w:r>
              <w:rPr>
                <w:rFonts w:hint="eastAsia" w:ascii="仿宋_GB2312" w:hAnsi="仿宋_GB2312" w:eastAsia="仿宋_GB2312" w:cs="仿宋_GB2312"/>
                <w:bCs/>
                <w:sz w:val="24"/>
                <w:szCs w:val="24"/>
                <w:lang w:val="en-US" w:eastAsia="zh-CN"/>
              </w:rPr>
              <w:t>1.</w:t>
            </w:r>
            <w:r>
              <w:rPr>
                <w:rFonts w:hint="default" w:ascii="仿宋_GB2312" w:hAnsi="仿宋_GB2312" w:eastAsia="仿宋_GB2312" w:cs="仿宋_GB2312"/>
                <w:bCs/>
                <w:sz w:val="24"/>
                <w:szCs w:val="24"/>
                <w:lang w:val="en-US" w:eastAsia="zh-CN"/>
              </w:rPr>
              <w:t>有机融入思想政治教育元素，落实课程思政要求，及时反应相关领域产业升级的新技术、新工艺、新规范。结合课程特点有机融入劳动教育内容。</w:t>
            </w:r>
          </w:p>
          <w:p w14:paraId="2F10C7FD">
            <w:pPr>
              <w:spacing w:line="380" w:lineRule="exact"/>
              <w:ind w:right="-57" w:rightChars="-27"/>
              <w:jc w:val="left"/>
              <w:rPr>
                <w:rFonts w:hint="eastAsia" w:ascii="仿宋_GB2312" w:hAnsi="仿宋_GB2312" w:eastAsia="仿宋_GB2312" w:cs="仿宋_GB2312"/>
                <w:bCs/>
                <w:sz w:val="24"/>
                <w:szCs w:val="24"/>
              </w:rPr>
            </w:pPr>
            <w:r>
              <w:rPr>
                <w:rFonts w:hint="default" w:ascii="仿宋_GB2312" w:hAnsi="仿宋_GB2312" w:eastAsia="仿宋_GB2312" w:cs="仿宋_GB2312"/>
                <w:bCs/>
                <w:sz w:val="24"/>
                <w:szCs w:val="24"/>
                <w:lang w:val="en-US" w:eastAsia="zh-CN"/>
              </w:rPr>
              <w:t>2.开展劳动精神、劳模精神、工匠精神专题教育。针对基于职业工作过程建设模块化课程的需求，优化教学内容。</w:t>
            </w:r>
          </w:p>
        </w:tc>
        <w:tc>
          <w:tcPr>
            <w:tcW w:w="846" w:type="dxa"/>
            <w:tcBorders>
              <w:top w:val="single" w:color="auto" w:sz="4" w:space="0"/>
              <w:left w:val="single" w:color="auto" w:sz="4" w:space="0"/>
              <w:bottom w:val="single" w:color="auto" w:sz="4" w:space="0"/>
              <w:right w:val="single" w:color="auto" w:sz="4" w:space="0"/>
            </w:tcBorders>
            <w:vAlign w:val="center"/>
          </w:tcPr>
          <w:p w14:paraId="1BA9A7DA">
            <w:pPr>
              <w:spacing w:line="380" w:lineRule="exact"/>
              <w:ind w:right="-57" w:rightChars="-27"/>
              <w:jc w:val="center"/>
              <w:rPr>
                <w:rFonts w:hint="eastAsia" w:ascii="仿宋_GB2312" w:hAnsi="仿宋_GB2312" w:eastAsia="仿宋_GB2312" w:cs="仿宋_GB2312"/>
                <w:bCs/>
                <w:sz w:val="24"/>
                <w:szCs w:val="24"/>
              </w:rPr>
            </w:pPr>
            <w:r>
              <w:rPr>
                <w:rFonts w:hint="eastAsia" w:ascii="仿宋_GB2312" w:hAnsi="仿宋_GB2312" w:eastAsia="仿宋_GB2312" w:cs="仿宋_GB2312"/>
                <w:color w:val="000000"/>
                <w:sz w:val="24"/>
                <w:szCs w:val="24"/>
              </w:rPr>
              <w:t>16</w:t>
            </w:r>
          </w:p>
        </w:tc>
        <w:tc>
          <w:tcPr>
            <w:tcW w:w="818" w:type="dxa"/>
            <w:tcBorders>
              <w:top w:val="single" w:color="auto" w:sz="4" w:space="0"/>
              <w:left w:val="single" w:color="auto" w:sz="4" w:space="0"/>
              <w:bottom w:val="single" w:color="auto" w:sz="4" w:space="0"/>
              <w:right w:val="single" w:color="auto" w:sz="4" w:space="0"/>
            </w:tcBorders>
            <w:vAlign w:val="center"/>
          </w:tcPr>
          <w:p w14:paraId="583AA751">
            <w:pPr>
              <w:spacing w:line="380" w:lineRule="exact"/>
              <w:ind w:right="-57" w:rightChars="-27"/>
              <w:jc w:val="center"/>
              <w:rPr>
                <w:rFonts w:hint="eastAsia" w:ascii="仿宋_GB2312" w:hAnsi="仿宋_GB2312" w:eastAsia="仿宋_GB2312" w:cs="仿宋_GB2312"/>
                <w:bCs/>
                <w:sz w:val="24"/>
                <w:szCs w:val="24"/>
              </w:rPr>
            </w:pPr>
            <w:r>
              <w:rPr>
                <w:rFonts w:hint="eastAsia" w:ascii="仿宋_GB2312" w:hAnsi="仿宋_GB2312" w:eastAsia="仿宋_GB2312" w:cs="仿宋_GB2312"/>
                <w:color w:val="000000"/>
                <w:sz w:val="24"/>
                <w:szCs w:val="24"/>
              </w:rPr>
              <w:t>个</w:t>
            </w:r>
          </w:p>
        </w:tc>
        <w:tc>
          <w:tcPr>
            <w:tcW w:w="845" w:type="dxa"/>
            <w:tcBorders>
              <w:top w:val="single" w:color="auto" w:sz="4" w:space="0"/>
              <w:left w:val="single" w:color="auto" w:sz="4" w:space="0"/>
              <w:bottom w:val="single" w:color="auto" w:sz="4" w:space="0"/>
              <w:right w:val="single" w:color="auto" w:sz="4" w:space="0"/>
            </w:tcBorders>
            <w:vAlign w:val="center"/>
          </w:tcPr>
          <w:p w14:paraId="53B947C5">
            <w:pPr>
              <w:spacing w:line="380" w:lineRule="exact"/>
              <w:ind w:right="-57" w:rightChars="-27"/>
              <w:jc w:val="center"/>
              <w:rPr>
                <w:rFonts w:hint="eastAsia" w:ascii="仿宋_GB2312" w:hAnsi="仿宋_GB2312" w:eastAsia="仿宋_GB2312" w:cs="仿宋_GB2312"/>
                <w:bCs/>
                <w:sz w:val="24"/>
                <w:szCs w:val="24"/>
              </w:rPr>
            </w:pPr>
            <w:r>
              <w:rPr>
                <w:rFonts w:hint="eastAsia" w:ascii="仿宋_GB2312" w:hAnsi="仿宋_GB2312" w:eastAsia="仿宋_GB2312" w:cs="仿宋_GB2312"/>
                <w:color w:val="000000"/>
                <w:sz w:val="24"/>
                <w:szCs w:val="24"/>
              </w:rPr>
              <w:t>2000</w:t>
            </w:r>
          </w:p>
        </w:tc>
        <w:tc>
          <w:tcPr>
            <w:tcW w:w="955" w:type="dxa"/>
            <w:tcBorders>
              <w:top w:val="single" w:color="auto" w:sz="4" w:space="0"/>
              <w:left w:val="single" w:color="auto" w:sz="4" w:space="0"/>
              <w:bottom w:val="single" w:color="auto" w:sz="4" w:space="0"/>
              <w:right w:val="single" w:color="auto" w:sz="4" w:space="0"/>
            </w:tcBorders>
            <w:vAlign w:val="center"/>
          </w:tcPr>
          <w:p w14:paraId="04FF1934">
            <w:pPr>
              <w:spacing w:line="380" w:lineRule="exact"/>
              <w:ind w:right="-57" w:rightChars="-27"/>
              <w:jc w:val="center"/>
              <w:rPr>
                <w:rFonts w:hint="eastAsia" w:ascii="仿宋_GB2312" w:hAnsi="仿宋_GB2312" w:eastAsia="仿宋_GB2312" w:cs="仿宋_GB2312"/>
                <w:bCs/>
                <w:sz w:val="24"/>
                <w:szCs w:val="24"/>
              </w:rPr>
            </w:pPr>
            <w:r>
              <w:rPr>
                <w:rFonts w:hint="eastAsia" w:ascii="仿宋_GB2312" w:hAnsi="仿宋_GB2312" w:eastAsia="仿宋_GB2312" w:cs="仿宋_GB2312"/>
                <w:color w:val="000000"/>
                <w:sz w:val="24"/>
                <w:szCs w:val="24"/>
              </w:rPr>
              <w:t>32000</w:t>
            </w:r>
          </w:p>
        </w:tc>
      </w:tr>
      <w:tr w14:paraId="6267B6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64" w:type="dxa"/>
            <w:tcBorders>
              <w:top w:val="single" w:color="auto" w:sz="4" w:space="0"/>
              <w:left w:val="single" w:color="auto" w:sz="4" w:space="0"/>
              <w:bottom w:val="single" w:color="auto" w:sz="4" w:space="0"/>
              <w:right w:val="single" w:color="auto" w:sz="4" w:space="0"/>
            </w:tcBorders>
            <w:vAlign w:val="center"/>
          </w:tcPr>
          <w:p w14:paraId="228AEE9D">
            <w:pPr>
              <w:spacing w:line="380" w:lineRule="exact"/>
              <w:ind w:right="-57" w:rightChars="-27"/>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5</w:t>
            </w:r>
          </w:p>
        </w:tc>
        <w:tc>
          <w:tcPr>
            <w:tcW w:w="1296" w:type="dxa"/>
            <w:tcBorders>
              <w:top w:val="single" w:color="auto" w:sz="4" w:space="0"/>
              <w:left w:val="single" w:color="auto" w:sz="4" w:space="0"/>
              <w:bottom w:val="single" w:color="auto" w:sz="4" w:space="0"/>
              <w:right w:val="single" w:color="auto" w:sz="4" w:space="0"/>
            </w:tcBorders>
            <w:vAlign w:val="center"/>
          </w:tcPr>
          <w:p w14:paraId="5ED34AD5">
            <w:pPr>
              <w:spacing w:line="380" w:lineRule="exact"/>
              <w:ind w:right="-57" w:rightChars="-27"/>
              <w:jc w:val="center"/>
              <w:rPr>
                <w:rFonts w:hint="eastAsia" w:ascii="仿宋_GB2312" w:hAnsi="仿宋_GB2312" w:eastAsia="仿宋_GB2312" w:cs="仿宋_GB2312"/>
                <w:bCs/>
                <w:sz w:val="24"/>
                <w:szCs w:val="24"/>
                <w:lang w:eastAsia="zh-CN"/>
              </w:rPr>
            </w:pPr>
            <w:r>
              <w:rPr>
                <w:rFonts w:hint="eastAsia" w:ascii="仿宋_GB2312" w:hAnsi="仿宋_GB2312" w:eastAsia="仿宋_GB2312" w:cs="仿宋_GB2312"/>
                <w:color w:val="000000"/>
                <w:kern w:val="0"/>
                <w:sz w:val="24"/>
                <w:szCs w:val="24"/>
                <w:shd w:val="clear" w:color="auto" w:fill="FFFFFF"/>
              </w:rPr>
              <w:t>参赛视频拍摄</w:t>
            </w:r>
            <w:r>
              <w:rPr>
                <w:rFonts w:hint="eastAsia" w:ascii="仿宋_GB2312" w:hAnsi="仿宋_GB2312" w:eastAsia="仿宋_GB2312" w:cs="仿宋_GB2312"/>
                <w:color w:val="000000"/>
                <w:kern w:val="0"/>
                <w:sz w:val="24"/>
                <w:szCs w:val="24"/>
                <w:shd w:val="clear" w:color="auto" w:fill="FFFFFF"/>
                <w:lang w:eastAsia="zh-CN"/>
              </w:rPr>
              <w:t>培训</w:t>
            </w:r>
            <w:r>
              <w:rPr>
                <w:rFonts w:hint="eastAsia" w:ascii="仿宋_GB2312" w:hAnsi="仿宋_GB2312" w:eastAsia="仿宋_GB2312" w:cs="仿宋_GB2312"/>
                <w:color w:val="000000"/>
                <w:kern w:val="0"/>
                <w:sz w:val="24"/>
                <w:szCs w:val="24"/>
                <w:shd w:val="clear" w:color="auto" w:fill="FFFFFF"/>
                <w:lang w:val="en-US" w:eastAsia="zh-CN"/>
              </w:rPr>
              <w:t>指导</w:t>
            </w:r>
          </w:p>
        </w:tc>
        <w:tc>
          <w:tcPr>
            <w:tcW w:w="4513" w:type="dxa"/>
            <w:tcBorders>
              <w:top w:val="single" w:color="auto" w:sz="4" w:space="0"/>
              <w:left w:val="single" w:color="auto" w:sz="4" w:space="0"/>
              <w:bottom w:val="single" w:color="auto" w:sz="4" w:space="0"/>
              <w:right w:val="single" w:color="auto" w:sz="4" w:space="0"/>
            </w:tcBorders>
            <w:vAlign w:val="center"/>
          </w:tcPr>
          <w:p w14:paraId="21A9DCBE">
            <w:pPr>
              <w:numPr>
                <w:ilvl w:val="0"/>
                <w:numId w:val="2"/>
              </w:numPr>
              <w:spacing w:line="380" w:lineRule="exact"/>
              <w:ind w:right="-57" w:rightChars="-27"/>
              <w:jc w:val="left"/>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lang w:val="en-US" w:eastAsia="zh-CN"/>
              </w:rPr>
              <w:t>专家</w:t>
            </w:r>
            <w:r>
              <w:rPr>
                <w:rFonts w:hint="eastAsia" w:ascii="仿宋_GB2312" w:hAnsi="仿宋_GB2312" w:eastAsia="仿宋_GB2312" w:cs="仿宋_GB2312"/>
                <w:bCs/>
                <w:sz w:val="24"/>
                <w:szCs w:val="24"/>
              </w:rPr>
              <w:t>对参赛视频进行现场指导，每组作品现场指导</w:t>
            </w:r>
            <w:r>
              <w:rPr>
                <w:rFonts w:hint="eastAsia" w:ascii="仿宋_GB2312" w:hAnsi="仿宋_GB2312" w:eastAsia="仿宋_GB2312" w:cs="仿宋_GB2312"/>
                <w:bCs/>
                <w:sz w:val="24"/>
                <w:szCs w:val="24"/>
                <w:lang w:val="en-US" w:eastAsia="zh-CN"/>
              </w:rPr>
              <w:t>不少于</w:t>
            </w:r>
            <w:r>
              <w:rPr>
                <w:rFonts w:hint="eastAsia" w:ascii="仿宋_GB2312" w:hAnsi="仿宋_GB2312" w:eastAsia="仿宋_GB2312" w:cs="仿宋_GB2312"/>
                <w:bCs/>
                <w:sz w:val="24"/>
                <w:szCs w:val="24"/>
              </w:rPr>
              <w:t>1天，包括场地布置、师生仪表、镜头运用等。</w:t>
            </w:r>
          </w:p>
          <w:p w14:paraId="3356F832">
            <w:pPr>
              <w:numPr>
                <w:ilvl w:val="0"/>
                <w:numId w:val="2"/>
              </w:numPr>
              <w:spacing w:line="380" w:lineRule="exact"/>
              <w:ind w:right="-57" w:rightChars="-27"/>
              <w:jc w:val="left"/>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lang w:eastAsia="zh-CN"/>
              </w:rPr>
              <w:t>每个团队</w:t>
            </w:r>
            <w:r>
              <w:rPr>
                <w:rFonts w:hint="eastAsia" w:ascii="仿宋_GB2312" w:hAnsi="仿宋_GB2312" w:eastAsia="仿宋_GB2312" w:cs="仿宋_GB2312"/>
                <w:bCs/>
                <w:sz w:val="24"/>
                <w:szCs w:val="24"/>
              </w:rPr>
              <w:t>配备一名</w:t>
            </w:r>
            <w:r>
              <w:rPr>
                <w:rFonts w:hint="eastAsia" w:ascii="仿宋_GB2312" w:hAnsi="仿宋_GB2312" w:eastAsia="仿宋_GB2312" w:cs="仿宋_GB2312"/>
                <w:bCs/>
                <w:sz w:val="24"/>
                <w:szCs w:val="24"/>
                <w:lang w:eastAsia="zh-CN"/>
              </w:rPr>
              <w:t>不少于1名</w:t>
            </w:r>
            <w:r>
              <w:rPr>
                <w:rFonts w:hint="eastAsia" w:ascii="仿宋_GB2312" w:hAnsi="仿宋_GB2312" w:eastAsia="仿宋_GB2312" w:cs="仿宋_GB2312"/>
                <w:bCs/>
                <w:sz w:val="24"/>
                <w:szCs w:val="24"/>
                <w:lang w:val="en-US" w:eastAsia="zh-CN"/>
              </w:rPr>
              <w:t>工程师</w:t>
            </w:r>
            <w:r>
              <w:rPr>
                <w:rFonts w:hint="eastAsia" w:ascii="仿宋_GB2312" w:hAnsi="仿宋_GB2312" w:eastAsia="仿宋_GB2312" w:cs="仿宋_GB2312"/>
                <w:bCs/>
                <w:sz w:val="24"/>
                <w:szCs w:val="24"/>
              </w:rPr>
              <w:t>全程跟踪对接</w:t>
            </w:r>
            <w:r>
              <w:rPr>
                <w:rFonts w:hint="eastAsia" w:ascii="仿宋_GB2312" w:hAnsi="仿宋_GB2312" w:eastAsia="仿宋_GB2312" w:cs="仿宋_GB2312"/>
                <w:bCs/>
                <w:sz w:val="24"/>
                <w:szCs w:val="24"/>
                <w:lang w:eastAsia="zh-CN"/>
              </w:rPr>
              <w:t>指导视频拍摄</w:t>
            </w:r>
            <w:r>
              <w:rPr>
                <w:rFonts w:hint="eastAsia" w:ascii="仿宋_GB2312" w:hAnsi="仿宋_GB2312" w:eastAsia="仿宋_GB2312" w:cs="仿宋_GB2312"/>
                <w:bCs/>
                <w:sz w:val="24"/>
                <w:szCs w:val="24"/>
              </w:rPr>
              <w:t>工作，</w:t>
            </w:r>
            <w:r>
              <w:rPr>
                <w:rFonts w:hint="eastAsia" w:ascii="仿宋_GB2312" w:hAnsi="仿宋_GB2312" w:eastAsia="仿宋_GB2312" w:cs="仿宋_GB2312"/>
                <w:bCs/>
                <w:sz w:val="24"/>
                <w:szCs w:val="24"/>
                <w:lang w:eastAsia="zh-CN"/>
              </w:rPr>
              <w:t>与</w:t>
            </w:r>
            <w:r>
              <w:rPr>
                <w:rFonts w:hint="eastAsia" w:ascii="仿宋_GB2312" w:hAnsi="仿宋_GB2312" w:eastAsia="仿宋_GB2312" w:cs="仿宋_GB2312"/>
                <w:bCs/>
                <w:sz w:val="24"/>
                <w:szCs w:val="24"/>
              </w:rPr>
              <w:t>老师沟通需要准备的材料、协助</w:t>
            </w:r>
            <w:r>
              <w:rPr>
                <w:rFonts w:hint="eastAsia" w:ascii="仿宋_GB2312" w:hAnsi="仿宋_GB2312" w:eastAsia="仿宋_GB2312" w:cs="仿宋_GB2312"/>
                <w:bCs/>
                <w:sz w:val="24"/>
                <w:szCs w:val="24"/>
                <w:lang w:eastAsia="zh-CN"/>
              </w:rPr>
              <w:t>教师团队完成</w:t>
            </w:r>
            <w:r>
              <w:rPr>
                <w:rFonts w:hint="eastAsia" w:ascii="仿宋_GB2312" w:hAnsi="仿宋_GB2312" w:eastAsia="仿宋_GB2312" w:cs="仿宋_GB2312"/>
                <w:bCs/>
                <w:sz w:val="24"/>
                <w:szCs w:val="24"/>
              </w:rPr>
              <w:t>进行作品脚本设计、拍摄环境的选择、拍摄过程的记录、文档资料的整理、相关课件优化设计等工作。</w:t>
            </w:r>
          </w:p>
          <w:p w14:paraId="4D54F5F1">
            <w:pPr>
              <w:numPr>
                <w:ilvl w:val="0"/>
                <w:numId w:val="2"/>
              </w:numPr>
              <w:spacing w:line="380" w:lineRule="exact"/>
              <w:ind w:right="-57" w:rightChars="-27"/>
              <w:jc w:val="left"/>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lang w:val="en-US" w:eastAsia="zh-CN"/>
              </w:rPr>
              <w:t>指导教师团队拍摄每成员</w:t>
            </w:r>
            <w:r>
              <w:rPr>
                <w:rFonts w:hint="eastAsia" w:ascii="仿宋_GB2312" w:hAnsi="仿宋_GB2312" w:eastAsia="仿宋_GB2312" w:cs="仿宋_GB2312"/>
                <w:bCs/>
                <w:sz w:val="24"/>
                <w:szCs w:val="24"/>
              </w:rPr>
              <w:t>不少于1段</w:t>
            </w:r>
            <w:r>
              <w:rPr>
                <w:rFonts w:hint="eastAsia" w:ascii="仿宋_GB2312" w:hAnsi="仿宋_GB2312" w:eastAsia="仿宋_GB2312" w:cs="仿宋_GB2312"/>
                <w:bCs/>
                <w:sz w:val="24"/>
                <w:szCs w:val="24"/>
                <w:lang w:val="en-US" w:eastAsia="zh-CN"/>
              </w:rPr>
              <w:t>视频展示</w:t>
            </w:r>
            <w:r>
              <w:rPr>
                <w:rFonts w:hint="eastAsia" w:ascii="仿宋_GB2312" w:hAnsi="仿宋_GB2312" w:eastAsia="仿宋_GB2312" w:cs="仿宋_GB2312"/>
                <w:bCs/>
                <w:sz w:val="24"/>
                <w:szCs w:val="24"/>
              </w:rPr>
              <w:t>。课堂实录视频每段45分钟左右；每段视频可自行选择教学场景，应分别完整、清晰地呈现参赛作品中内容相对独立完整、课程属性特质鲜明、反映团队成员教学风格的教学活动实况。</w:t>
            </w:r>
            <w:r>
              <w:rPr>
                <w:rFonts w:hint="eastAsia" w:ascii="仿宋_GB2312" w:hAnsi="仿宋_GB2312" w:eastAsia="仿宋_GB2312" w:cs="仿宋_GB2312"/>
                <w:bCs/>
                <w:sz w:val="24"/>
                <w:szCs w:val="24"/>
                <w:lang w:eastAsia="zh-CN"/>
              </w:rPr>
              <w:t>指导</w:t>
            </w:r>
            <w:r>
              <w:rPr>
                <w:rFonts w:hint="eastAsia" w:ascii="仿宋_GB2312" w:hAnsi="仿宋_GB2312" w:eastAsia="仿宋_GB2312" w:cs="仿宋_GB2312"/>
                <w:bCs/>
                <w:sz w:val="24"/>
                <w:szCs w:val="24"/>
              </w:rPr>
              <w:t>专业课程二组参赛</w:t>
            </w:r>
            <w:r>
              <w:rPr>
                <w:rFonts w:hint="eastAsia" w:ascii="仿宋_GB2312" w:hAnsi="仿宋_GB2312" w:eastAsia="仿宋_GB2312" w:cs="仿宋_GB2312"/>
                <w:bCs/>
                <w:sz w:val="24"/>
                <w:szCs w:val="24"/>
                <w:lang w:eastAsia="zh-CN"/>
              </w:rPr>
              <w:t>团队完成</w:t>
            </w:r>
            <w:r>
              <w:rPr>
                <w:rFonts w:hint="eastAsia" w:ascii="仿宋_GB2312" w:hAnsi="仿宋_GB2312" w:eastAsia="仿宋_GB2312" w:cs="仿宋_GB2312"/>
                <w:bCs/>
                <w:sz w:val="24"/>
                <w:szCs w:val="24"/>
              </w:rPr>
              <w:t>不少于2段反映团队成员关键技术技能教学操作与示范的教学实况</w:t>
            </w:r>
            <w:r>
              <w:rPr>
                <w:rFonts w:hint="eastAsia" w:ascii="仿宋_GB2312" w:hAnsi="仿宋_GB2312" w:eastAsia="仿宋_GB2312" w:cs="仿宋_GB2312"/>
                <w:bCs/>
                <w:sz w:val="24"/>
                <w:szCs w:val="24"/>
                <w:lang w:eastAsia="zh-CN"/>
              </w:rPr>
              <w:t>视频拍摄</w:t>
            </w:r>
            <w:r>
              <w:rPr>
                <w:rFonts w:hint="eastAsia" w:ascii="仿宋_GB2312" w:hAnsi="仿宋_GB2312" w:eastAsia="仿宋_GB2312" w:cs="仿宋_GB2312"/>
                <w:bCs/>
                <w:sz w:val="24"/>
                <w:szCs w:val="24"/>
              </w:rPr>
              <w:t>。</w:t>
            </w:r>
          </w:p>
        </w:tc>
        <w:tc>
          <w:tcPr>
            <w:tcW w:w="846" w:type="dxa"/>
            <w:tcBorders>
              <w:top w:val="single" w:color="auto" w:sz="4" w:space="0"/>
              <w:left w:val="single" w:color="auto" w:sz="4" w:space="0"/>
              <w:bottom w:val="single" w:color="auto" w:sz="4" w:space="0"/>
              <w:right w:val="single" w:color="auto" w:sz="4" w:space="0"/>
            </w:tcBorders>
            <w:vAlign w:val="center"/>
          </w:tcPr>
          <w:p w14:paraId="78B92461">
            <w:pPr>
              <w:spacing w:line="380" w:lineRule="exact"/>
              <w:ind w:right="-57" w:rightChars="-27"/>
              <w:jc w:val="center"/>
              <w:rPr>
                <w:rFonts w:hint="eastAsia" w:ascii="仿宋_GB2312" w:hAnsi="仿宋_GB2312" w:eastAsia="仿宋_GB2312" w:cs="仿宋_GB2312"/>
                <w:bCs/>
                <w:sz w:val="24"/>
                <w:szCs w:val="24"/>
              </w:rPr>
            </w:pPr>
            <w:r>
              <w:rPr>
                <w:rFonts w:hint="eastAsia" w:ascii="仿宋_GB2312" w:hAnsi="仿宋_GB2312" w:eastAsia="仿宋_GB2312" w:cs="仿宋_GB2312"/>
                <w:color w:val="000000"/>
                <w:sz w:val="24"/>
                <w:szCs w:val="24"/>
              </w:rPr>
              <w:t>16</w:t>
            </w:r>
          </w:p>
        </w:tc>
        <w:tc>
          <w:tcPr>
            <w:tcW w:w="818" w:type="dxa"/>
            <w:tcBorders>
              <w:top w:val="single" w:color="auto" w:sz="4" w:space="0"/>
              <w:left w:val="single" w:color="auto" w:sz="4" w:space="0"/>
              <w:bottom w:val="single" w:color="auto" w:sz="4" w:space="0"/>
              <w:right w:val="single" w:color="auto" w:sz="4" w:space="0"/>
            </w:tcBorders>
            <w:vAlign w:val="center"/>
          </w:tcPr>
          <w:p w14:paraId="1E3609D3">
            <w:pPr>
              <w:spacing w:line="380" w:lineRule="exact"/>
              <w:ind w:right="-57" w:rightChars="-27"/>
              <w:jc w:val="center"/>
              <w:rPr>
                <w:rFonts w:hint="eastAsia" w:ascii="仿宋_GB2312" w:hAnsi="仿宋_GB2312" w:eastAsia="仿宋_GB2312" w:cs="仿宋_GB2312"/>
                <w:bCs/>
                <w:sz w:val="24"/>
                <w:szCs w:val="24"/>
              </w:rPr>
            </w:pPr>
            <w:r>
              <w:rPr>
                <w:rFonts w:hint="eastAsia" w:ascii="仿宋_GB2312" w:hAnsi="仿宋_GB2312" w:eastAsia="仿宋_GB2312" w:cs="仿宋_GB2312"/>
                <w:color w:val="000000"/>
                <w:sz w:val="24"/>
                <w:szCs w:val="24"/>
              </w:rPr>
              <w:t>个</w:t>
            </w:r>
          </w:p>
        </w:tc>
        <w:tc>
          <w:tcPr>
            <w:tcW w:w="845" w:type="dxa"/>
            <w:tcBorders>
              <w:top w:val="single" w:color="auto" w:sz="4" w:space="0"/>
              <w:left w:val="single" w:color="auto" w:sz="4" w:space="0"/>
              <w:bottom w:val="single" w:color="auto" w:sz="4" w:space="0"/>
              <w:right w:val="single" w:color="auto" w:sz="4" w:space="0"/>
            </w:tcBorders>
            <w:vAlign w:val="center"/>
          </w:tcPr>
          <w:p w14:paraId="1260DC83">
            <w:pPr>
              <w:spacing w:line="380" w:lineRule="exact"/>
              <w:ind w:right="-57" w:rightChars="-27"/>
              <w:jc w:val="center"/>
              <w:rPr>
                <w:rFonts w:hint="eastAsia" w:ascii="仿宋_GB2312" w:hAnsi="仿宋_GB2312" w:eastAsia="仿宋_GB2312" w:cs="仿宋_GB2312"/>
                <w:bCs/>
                <w:sz w:val="24"/>
                <w:szCs w:val="24"/>
              </w:rPr>
            </w:pPr>
            <w:r>
              <w:rPr>
                <w:rFonts w:hint="eastAsia" w:ascii="仿宋_GB2312" w:hAnsi="仿宋_GB2312" w:eastAsia="仿宋_GB2312" w:cs="仿宋_GB2312"/>
                <w:color w:val="000000"/>
                <w:sz w:val="24"/>
                <w:szCs w:val="24"/>
              </w:rPr>
              <w:t>3000</w:t>
            </w:r>
          </w:p>
        </w:tc>
        <w:tc>
          <w:tcPr>
            <w:tcW w:w="955" w:type="dxa"/>
            <w:tcBorders>
              <w:top w:val="single" w:color="auto" w:sz="4" w:space="0"/>
              <w:left w:val="single" w:color="auto" w:sz="4" w:space="0"/>
              <w:bottom w:val="single" w:color="auto" w:sz="4" w:space="0"/>
              <w:right w:val="single" w:color="auto" w:sz="4" w:space="0"/>
            </w:tcBorders>
            <w:vAlign w:val="center"/>
          </w:tcPr>
          <w:p w14:paraId="2C659FAC">
            <w:pPr>
              <w:spacing w:line="380" w:lineRule="exact"/>
              <w:ind w:right="-57" w:rightChars="-27"/>
              <w:jc w:val="center"/>
              <w:rPr>
                <w:rFonts w:hint="eastAsia" w:ascii="仿宋_GB2312" w:hAnsi="仿宋_GB2312" w:eastAsia="仿宋_GB2312" w:cs="仿宋_GB2312"/>
                <w:bCs/>
                <w:sz w:val="24"/>
                <w:szCs w:val="24"/>
              </w:rPr>
            </w:pPr>
            <w:r>
              <w:rPr>
                <w:rFonts w:hint="eastAsia" w:ascii="仿宋_GB2312" w:hAnsi="仿宋_GB2312" w:eastAsia="仿宋_GB2312" w:cs="仿宋_GB2312"/>
                <w:color w:val="000000"/>
                <w:sz w:val="24"/>
                <w:szCs w:val="24"/>
              </w:rPr>
              <w:t>48000</w:t>
            </w:r>
          </w:p>
        </w:tc>
      </w:tr>
      <w:tr w14:paraId="3F3EDA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64" w:type="dxa"/>
            <w:tcBorders>
              <w:top w:val="single" w:color="auto" w:sz="4" w:space="0"/>
              <w:left w:val="single" w:color="auto" w:sz="4" w:space="0"/>
              <w:bottom w:val="single" w:color="auto" w:sz="4" w:space="0"/>
              <w:right w:val="single" w:color="auto" w:sz="4" w:space="0"/>
            </w:tcBorders>
            <w:vAlign w:val="center"/>
          </w:tcPr>
          <w:p w14:paraId="3E3C4856">
            <w:pPr>
              <w:spacing w:line="380" w:lineRule="exact"/>
              <w:ind w:right="-57" w:rightChars="-27"/>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6</w:t>
            </w:r>
          </w:p>
        </w:tc>
        <w:tc>
          <w:tcPr>
            <w:tcW w:w="1296" w:type="dxa"/>
            <w:tcBorders>
              <w:top w:val="single" w:color="auto" w:sz="4" w:space="0"/>
              <w:left w:val="single" w:color="auto" w:sz="4" w:space="0"/>
              <w:bottom w:val="single" w:color="auto" w:sz="4" w:space="0"/>
              <w:right w:val="single" w:color="auto" w:sz="4" w:space="0"/>
            </w:tcBorders>
            <w:vAlign w:val="center"/>
          </w:tcPr>
          <w:p w14:paraId="526F9D9E">
            <w:pPr>
              <w:spacing w:line="380" w:lineRule="exact"/>
              <w:ind w:right="-57" w:rightChars="-27"/>
              <w:jc w:val="center"/>
              <w:rPr>
                <w:rFonts w:hint="eastAsia" w:ascii="仿宋_GB2312" w:hAnsi="仿宋_GB2312" w:eastAsia="仿宋_GB2312" w:cs="仿宋_GB2312"/>
                <w:bCs/>
                <w:sz w:val="24"/>
                <w:szCs w:val="24"/>
                <w:lang w:val="en-US" w:eastAsia="zh-CN"/>
              </w:rPr>
            </w:pPr>
            <w:r>
              <w:rPr>
                <w:rFonts w:hint="eastAsia" w:ascii="仿宋_GB2312" w:hAnsi="仿宋_GB2312" w:eastAsia="仿宋_GB2312" w:cs="仿宋_GB2312"/>
                <w:color w:val="000000"/>
                <w:kern w:val="0"/>
                <w:sz w:val="24"/>
                <w:szCs w:val="24"/>
                <w:shd w:val="clear" w:color="auto" w:fill="FFFFFF"/>
              </w:rPr>
              <w:t>课程素材制作</w:t>
            </w:r>
            <w:r>
              <w:rPr>
                <w:rFonts w:hint="eastAsia" w:ascii="仿宋_GB2312" w:hAnsi="仿宋_GB2312" w:eastAsia="仿宋_GB2312" w:cs="仿宋_GB2312"/>
                <w:color w:val="000000"/>
                <w:kern w:val="0"/>
                <w:sz w:val="24"/>
                <w:szCs w:val="24"/>
                <w:shd w:val="clear" w:color="auto" w:fill="FFFFFF"/>
                <w:lang w:eastAsia="zh-CN"/>
              </w:rPr>
              <w:t>培训</w:t>
            </w:r>
            <w:r>
              <w:rPr>
                <w:rFonts w:hint="eastAsia" w:ascii="仿宋_GB2312" w:hAnsi="仿宋_GB2312" w:eastAsia="仿宋_GB2312" w:cs="仿宋_GB2312"/>
                <w:color w:val="000000"/>
                <w:kern w:val="0"/>
                <w:sz w:val="24"/>
                <w:szCs w:val="24"/>
                <w:shd w:val="clear" w:color="auto" w:fill="FFFFFF"/>
                <w:lang w:val="en-US" w:eastAsia="zh-CN"/>
              </w:rPr>
              <w:t>指导</w:t>
            </w:r>
          </w:p>
        </w:tc>
        <w:tc>
          <w:tcPr>
            <w:tcW w:w="4513" w:type="dxa"/>
            <w:tcBorders>
              <w:top w:val="single" w:color="auto" w:sz="4" w:space="0"/>
              <w:left w:val="single" w:color="auto" w:sz="4" w:space="0"/>
              <w:bottom w:val="single" w:color="auto" w:sz="4" w:space="0"/>
              <w:right w:val="single" w:color="auto" w:sz="4" w:space="0"/>
            </w:tcBorders>
            <w:vAlign w:val="center"/>
          </w:tcPr>
          <w:p w14:paraId="5261B08A">
            <w:pPr>
              <w:numPr>
                <w:ilvl w:val="0"/>
                <w:numId w:val="3"/>
              </w:numPr>
              <w:spacing w:line="380" w:lineRule="exact"/>
              <w:ind w:right="-57" w:rightChars="-27"/>
              <w:jc w:val="both"/>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依据专业特点，配合教学环节，指导设计PPT模板视觉效果，包括首页、内页设计；要求版式设计独特、新颖、颜色统一，具有专业特色。</w:t>
            </w:r>
          </w:p>
          <w:p w14:paraId="73B99824">
            <w:pPr>
              <w:numPr>
                <w:ilvl w:val="0"/>
                <w:numId w:val="3"/>
              </w:numPr>
              <w:spacing w:line="380" w:lineRule="exact"/>
              <w:ind w:right="-57" w:rightChars="-27"/>
              <w:jc w:val="both"/>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lang w:val="en-US" w:eastAsia="zh-CN"/>
              </w:rPr>
              <w:t>指导各团队的每门课程完成1套教学实施报告课件设计，</w:t>
            </w:r>
            <w:r>
              <w:rPr>
                <w:rFonts w:hint="eastAsia" w:ascii="仿宋_GB2312" w:hAnsi="仿宋_GB2312" w:eastAsia="仿宋_GB2312" w:cs="仿宋_GB2312"/>
                <w:bCs/>
                <w:sz w:val="24"/>
                <w:szCs w:val="24"/>
              </w:rPr>
              <w:t>包括整体教学设计、教学实施过程、学生学习效果和教学反思措施等；教学过程涉及需要展示的教学活动</w:t>
            </w: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rPr>
              <w:t>课件层次清晰、合理，配色和内容相协调。</w:t>
            </w:r>
          </w:p>
          <w:p w14:paraId="645E5B7E">
            <w:pPr>
              <w:numPr>
                <w:ilvl w:val="0"/>
                <w:numId w:val="3"/>
              </w:numPr>
              <w:spacing w:line="380" w:lineRule="exact"/>
              <w:ind w:right="-57" w:rightChars="-27"/>
              <w:jc w:val="both"/>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lang w:eastAsia="zh-CN"/>
              </w:rPr>
              <w:t>指导各团队的</w:t>
            </w:r>
            <w:r>
              <w:rPr>
                <w:rFonts w:hint="eastAsia" w:ascii="仿宋_GB2312" w:hAnsi="仿宋_GB2312" w:eastAsia="仿宋_GB2312" w:cs="仿宋_GB2312"/>
                <w:bCs/>
                <w:sz w:val="24"/>
                <w:szCs w:val="24"/>
              </w:rPr>
              <w:t>每门课程</w:t>
            </w:r>
            <w:r>
              <w:rPr>
                <w:rFonts w:hint="eastAsia" w:ascii="仿宋_GB2312" w:hAnsi="仿宋_GB2312" w:eastAsia="仿宋_GB2312" w:cs="仿宋_GB2312"/>
                <w:bCs/>
                <w:sz w:val="24"/>
                <w:szCs w:val="24"/>
                <w:lang w:eastAsia="zh-CN"/>
              </w:rPr>
              <w:t>完成</w:t>
            </w:r>
            <w:r>
              <w:rPr>
                <w:rFonts w:hint="eastAsia" w:ascii="仿宋_GB2312" w:hAnsi="仿宋_GB2312" w:eastAsia="仿宋_GB2312" w:cs="仿宋_GB2312"/>
                <w:bCs/>
                <w:sz w:val="24"/>
                <w:szCs w:val="24"/>
              </w:rPr>
              <w:t>至少1套教学课件</w:t>
            </w:r>
            <w:r>
              <w:rPr>
                <w:rFonts w:hint="eastAsia" w:ascii="仿宋_GB2312" w:hAnsi="仿宋_GB2312" w:eastAsia="仿宋_GB2312" w:cs="仿宋_GB2312"/>
                <w:bCs/>
                <w:sz w:val="24"/>
                <w:szCs w:val="24"/>
                <w:lang w:eastAsia="zh-CN"/>
              </w:rPr>
              <w:t>设计</w:t>
            </w:r>
            <w:r>
              <w:rPr>
                <w:rFonts w:hint="eastAsia" w:ascii="仿宋_GB2312" w:hAnsi="仿宋_GB2312" w:eastAsia="仿宋_GB2312" w:cs="仿宋_GB2312"/>
                <w:bCs/>
                <w:sz w:val="24"/>
                <w:szCs w:val="24"/>
              </w:rPr>
              <w:t>，课件</w:t>
            </w:r>
            <w:r>
              <w:rPr>
                <w:rFonts w:hint="eastAsia" w:ascii="仿宋_GB2312" w:hAnsi="仿宋_GB2312" w:eastAsia="仿宋_GB2312" w:cs="仿宋_GB2312"/>
                <w:bCs/>
                <w:sz w:val="24"/>
                <w:szCs w:val="24"/>
                <w:lang w:eastAsia="zh-CN"/>
              </w:rPr>
              <w:t>应做到美观、简洁，版式设计新颖，可视化效果好，</w:t>
            </w:r>
            <w:r>
              <w:rPr>
                <w:rFonts w:hint="eastAsia" w:ascii="仿宋_GB2312" w:hAnsi="仿宋_GB2312" w:eastAsia="仿宋_GB2312" w:cs="仿宋_GB2312"/>
                <w:bCs/>
                <w:sz w:val="24"/>
                <w:szCs w:val="24"/>
              </w:rPr>
              <w:t>与其他软件兼容性好，能够支持多平台进行演示，不因设备问题导致播放冲突。</w:t>
            </w:r>
          </w:p>
        </w:tc>
        <w:tc>
          <w:tcPr>
            <w:tcW w:w="846" w:type="dxa"/>
            <w:tcBorders>
              <w:top w:val="single" w:color="auto" w:sz="4" w:space="0"/>
              <w:left w:val="single" w:color="auto" w:sz="4" w:space="0"/>
              <w:bottom w:val="single" w:color="auto" w:sz="4" w:space="0"/>
              <w:right w:val="single" w:color="auto" w:sz="4" w:space="0"/>
            </w:tcBorders>
            <w:vAlign w:val="center"/>
          </w:tcPr>
          <w:p w14:paraId="32B21785">
            <w:pPr>
              <w:spacing w:line="380" w:lineRule="exact"/>
              <w:ind w:right="-57" w:rightChars="-27"/>
              <w:jc w:val="center"/>
              <w:rPr>
                <w:rFonts w:hint="eastAsia" w:ascii="仿宋_GB2312" w:hAnsi="仿宋_GB2312" w:eastAsia="仿宋_GB2312" w:cs="仿宋_GB2312"/>
                <w:bCs/>
                <w:sz w:val="24"/>
                <w:szCs w:val="24"/>
              </w:rPr>
            </w:pPr>
            <w:r>
              <w:rPr>
                <w:rFonts w:hint="eastAsia" w:ascii="仿宋_GB2312" w:hAnsi="仿宋_GB2312" w:eastAsia="仿宋_GB2312" w:cs="仿宋_GB2312"/>
                <w:color w:val="000000"/>
                <w:sz w:val="24"/>
                <w:szCs w:val="24"/>
              </w:rPr>
              <w:t>4</w:t>
            </w:r>
          </w:p>
        </w:tc>
        <w:tc>
          <w:tcPr>
            <w:tcW w:w="818" w:type="dxa"/>
            <w:tcBorders>
              <w:top w:val="single" w:color="auto" w:sz="4" w:space="0"/>
              <w:left w:val="single" w:color="auto" w:sz="4" w:space="0"/>
              <w:bottom w:val="single" w:color="auto" w:sz="4" w:space="0"/>
              <w:right w:val="single" w:color="auto" w:sz="4" w:space="0"/>
            </w:tcBorders>
            <w:vAlign w:val="center"/>
          </w:tcPr>
          <w:p w14:paraId="0DE29964">
            <w:pPr>
              <w:spacing w:line="380" w:lineRule="exact"/>
              <w:ind w:right="-57" w:rightChars="-27"/>
              <w:jc w:val="center"/>
              <w:rPr>
                <w:rFonts w:hint="eastAsia" w:ascii="仿宋_GB2312" w:hAnsi="仿宋_GB2312" w:eastAsia="仿宋_GB2312" w:cs="仿宋_GB2312"/>
                <w:bCs/>
                <w:sz w:val="24"/>
                <w:szCs w:val="24"/>
              </w:rPr>
            </w:pPr>
            <w:r>
              <w:rPr>
                <w:rFonts w:hint="eastAsia" w:ascii="仿宋_GB2312" w:hAnsi="仿宋_GB2312" w:eastAsia="仿宋_GB2312" w:cs="仿宋_GB2312"/>
                <w:color w:val="000000"/>
                <w:sz w:val="24"/>
                <w:szCs w:val="24"/>
              </w:rPr>
              <w:t>门</w:t>
            </w:r>
          </w:p>
        </w:tc>
        <w:tc>
          <w:tcPr>
            <w:tcW w:w="845" w:type="dxa"/>
            <w:tcBorders>
              <w:top w:val="single" w:color="auto" w:sz="4" w:space="0"/>
              <w:left w:val="single" w:color="auto" w:sz="4" w:space="0"/>
              <w:bottom w:val="single" w:color="auto" w:sz="4" w:space="0"/>
              <w:right w:val="single" w:color="auto" w:sz="4" w:space="0"/>
            </w:tcBorders>
            <w:vAlign w:val="center"/>
          </w:tcPr>
          <w:p w14:paraId="454DE60E">
            <w:pPr>
              <w:spacing w:line="380" w:lineRule="exact"/>
              <w:ind w:right="-57" w:rightChars="-27"/>
              <w:jc w:val="center"/>
              <w:rPr>
                <w:rFonts w:hint="eastAsia" w:ascii="仿宋_GB2312" w:hAnsi="仿宋_GB2312" w:eastAsia="仿宋_GB2312" w:cs="仿宋_GB2312"/>
                <w:bCs/>
                <w:sz w:val="24"/>
                <w:szCs w:val="24"/>
              </w:rPr>
            </w:pPr>
            <w:r>
              <w:rPr>
                <w:rFonts w:hint="eastAsia" w:ascii="仿宋_GB2312" w:hAnsi="仿宋_GB2312" w:eastAsia="仿宋_GB2312" w:cs="仿宋_GB2312"/>
                <w:color w:val="000000"/>
                <w:sz w:val="24"/>
                <w:szCs w:val="24"/>
              </w:rPr>
              <w:t>4500</w:t>
            </w:r>
          </w:p>
        </w:tc>
        <w:tc>
          <w:tcPr>
            <w:tcW w:w="955" w:type="dxa"/>
            <w:tcBorders>
              <w:top w:val="single" w:color="auto" w:sz="4" w:space="0"/>
              <w:left w:val="single" w:color="auto" w:sz="4" w:space="0"/>
              <w:bottom w:val="single" w:color="auto" w:sz="4" w:space="0"/>
              <w:right w:val="single" w:color="auto" w:sz="4" w:space="0"/>
            </w:tcBorders>
            <w:vAlign w:val="center"/>
          </w:tcPr>
          <w:p w14:paraId="73FED289">
            <w:pPr>
              <w:spacing w:line="380" w:lineRule="exact"/>
              <w:ind w:right="-57" w:rightChars="-27"/>
              <w:jc w:val="center"/>
              <w:rPr>
                <w:rFonts w:hint="eastAsia" w:ascii="仿宋_GB2312" w:hAnsi="仿宋_GB2312" w:eastAsia="仿宋_GB2312" w:cs="仿宋_GB2312"/>
                <w:bCs/>
                <w:sz w:val="24"/>
                <w:szCs w:val="24"/>
              </w:rPr>
            </w:pPr>
            <w:r>
              <w:rPr>
                <w:rFonts w:hint="eastAsia" w:ascii="仿宋_GB2312" w:hAnsi="仿宋_GB2312" w:eastAsia="仿宋_GB2312" w:cs="仿宋_GB2312"/>
                <w:color w:val="000000"/>
                <w:sz w:val="24"/>
                <w:szCs w:val="24"/>
              </w:rPr>
              <w:t>18000</w:t>
            </w:r>
          </w:p>
        </w:tc>
      </w:tr>
      <w:tr w14:paraId="70E8BB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64" w:type="dxa"/>
            <w:tcBorders>
              <w:top w:val="single" w:color="auto" w:sz="4" w:space="0"/>
              <w:left w:val="single" w:color="auto" w:sz="4" w:space="0"/>
              <w:bottom w:val="single" w:color="auto" w:sz="4" w:space="0"/>
              <w:right w:val="single" w:color="auto" w:sz="4" w:space="0"/>
            </w:tcBorders>
            <w:vAlign w:val="center"/>
          </w:tcPr>
          <w:p w14:paraId="64D9785E">
            <w:pPr>
              <w:spacing w:line="380" w:lineRule="exact"/>
              <w:ind w:right="-57" w:rightChars="-27"/>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7</w:t>
            </w:r>
          </w:p>
        </w:tc>
        <w:tc>
          <w:tcPr>
            <w:tcW w:w="1296" w:type="dxa"/>
            <w:tcBorders>
              <w:top w:val="single" w:color="auto" w:sz="4" w:space="0"/>
              <w:left w:val="single" w:color="auto" w:sz="4" w:space="0"/>
              <w:bottom w:val="single" w:color="auto" w:sz="4" w:space="0"/>
              <w:right w:val="single" w:color="auto" w:sz="4" w:space="0"/>
            </w:tcBorders>
            <w:vAlign w:val="center"/>
          </w:tcPr>
          <w:p w14:paraId="39B914EA">
            <w:pPr>
              <w:spacing w:line="380" w:lineRule="exact"/>
              <w:ind w:right="-57" w:rightChars="-27"/>
              <w:jc w:val="center"/>
              <w:rPr>
                <w:rFonts w:hint="eastAsia" w:ascii="仿宋_GB2312" w:hAnsi="仿宋_GB2312" w:eastAsia="仿宋_GB2312" w:cs="仿宋_GB2312"/>
                <w:bCs/>
                <w:sz w:val="24"/>
                <w:szCs w:val="24"/>
                <w:lang w:val="en-US" w:eastAsia="zh-CN"/>
              </w:rPr>
            </w:pPr>
            <w:r>
              <w:rPr>
                <w:rFonts w:hint="eastAsia" w:ascii="仿宋_GB2312" w:hAnsi="仿宋_GB2312" w:eastAsia="仿宋_GB2312" w:cs="仿宋_GB2312"/>
                <w:sz w:val="24"/>
                <w:szCs w:val="24"/>
              </w:rPr>
              <w:t>教学平台搭建使用</w:t>
            </w:r>
            <w:r>
              <w:rPr>
                <w:rFonts w:hint="eastAsia" w:ascii="仿宋_GB2312" w:hAnsi="仿宋_GB2312" w:eastAsia="仿宋_GB2312" w:cs="仿宋_GB2312"/>
                <w:sz w:val="24"/>
                <w:szCs w:val="24"/>
                <w:lang w:eastAsia="zh-CN"/>
              </w:rPr>
              <w:t>培训</w:t>
            </w:r>
            <w:r>
              <w:rPr>
                <w:rFonts w:hint="eastAsia" w:ascii="仿宋_GB2312" w:hAnsi="仿宋_GB2312" w:eastAsia="仿宋_GB2312" w:cs="仿宋_GB2312"/>
                <w:sz w:val="24"/>
                <w:szCs w:val="24"/>
                <w:lang w:val="en-US" w:eastAsia="zh-CN"/>
              </w:rPr>
              <w:t>指导</w:t>
            </w:r>
          </w:p>
        </w:tc>
        <w:tc>
          <w:tcPr>
            <w:tcW w:w="4513" w:type="dxa"/>
            <w:tcBorders>
              <w:top w:val="single" w:color="auto" w:sz="4" w:space="0"/>
              <w:left w:val="single" w:color="auto" w:sz="4" w:space="0"/>
              <w:bottom w:val="single" w:color="auto" w:sz="4" w:space="0"/>
              <w:right w:val="single" w:color="auto" w:sz="4" w:space="0"/>
            </w:tcBorders>
            <w:vAlign w:val="center"/>
          </w:tcPr>
          <w:p w14:paraId="75610868">
            <w:pPr>
              <w:numPr>
                <w:ilvl w:val="0"/>
                <w:numId w:val="4"/>
              </w:numPr>
              <w:spacing w:line="380" w:lineRule="exact"/>
              <w:ind w:right="-57" w:rightChars="-27"/>
              <w:jc w:val="left"/>
              <w:rPr>
                <w:rFonts w:hint="default" w:ascii="仿宋_GB2312" w:hAnsi="仿宋_GB2312" w:eastAsia="仿宋_GB2312" w:cs="仿宋_GB2312"/>
                <w:bCs/>
                <w:sz w:val="24"/>
                <w:szCs w:val="24"/>
                <w:lang w:val="en-US" w:eastAsia="zh-CN"/>
              </w:rPr>
            </w:pPr>
            <w:r>
              <w:rPr>
                <w:rFonts w:hint="eastAsia" w:ascii="仿宋_GB2312" w:hAnsi="仿宋_GB2312" w:eastAsia="仿宋_GB2312" w:cs="仿宋_GB2312"/>
                <w:bCs/>
                <w:sz w:val="24"/>
                <w:szCs w:val="24"/>
                <w:lang w:val="en-US" w:eastAsia="zh-CN"/>
              </w:rPr>
              <w:t>指导各团队教师使用在线教学平台完成教学活动设计，指导选用的教学平台应充分体现课堂在线教学、教师灵活备课、学生自主学习，学习过程管理，学习过程性评价、交流互动、教学资源建设与管理，课程制作与发布，统计分析及督学管理，基础数据及权限管理：为教学者提供灵活备课，每节课都可以自定义教学过程，任意安排丰富灵活的课堂活动；为学习者提供课程学习，师生互动，话题讨论，在线投票等多种学习体验，能够通过网络实现随时随地学习与交互。</w:t>
            </w:r>
          </w:p>
          <w:p w14:paraId="368313F7">
            <w:pPr>
              <w:numPr>
                <w:ilvl w:val="0"/>
                <w:numId w:val="4"/>
              </w:numPr>
              <w:spacing w:line="380" w:lineRule="exact"/>
              <w:ind w:right="-57" w:rightChars="-27"/>
              <w:jc w:val="left"/>
              <w:rPr>
                <w:rFonts w:hint="default" w:ascii="仿宋_GB2312" w:hAnsi="仿宋_GB2312" w:eastAsia="仿宋_GB2312" w:cs="仿宋_GB2312"/>
                <w:bCs/>
                <w:sz w:val="24"/>
                <w:szCs w:val="24"/>
                <w:lang w:val="en-US" w:eastAsia="zh-CN"/>
              </w:rPr>
            </w:pPr>
            <w:r>
              <w:rPr>
                <w:rFonts w:hint="default" w:ascii="仿宋_GB2312" w:hAnsi="仿宋_GB2312" w:eastAsia="仿宋_GB2312" w:cs="仿宋_GB2312"/>
                <w:bCs/>
                <w:sz w:val="24"/>
                <w:szCs w:val="24"/>
                <w:lang w:val="en-US" w:eastAsia="zh-CN"/>
              </w:rPr>
              <w:t>依据大赛要求，结合专业特点，</w:t>
            </w:r>
            <w:r>
              <w:rPr>
                <w:rFonts w:hint="eastAsia" w:ascii="仿宋_GB2312" w:hAnsi="仿宋_GB2312" w:eastAsia="仿宋_GB2312" w:cs="仿宋_GB2312"/>
                <w:bCs/>
                <w:sz w:val="24"/>
                <w:szCs w:val="24"/>
                <w:lang w:val="en-US" w:eastAsia="zh-CN"/>
              </w:rPr>
              <w:t>指导各教师团队根据</w:t>
            </w:r>
            <w:r>
              <w:rPr>
                <w:rFonts w:hint="default" w:ascii="仿宋_GB2312" w:hAnsi="仿宋_GB2312" w:eastAsia="仿宋_GB2312" w:cs="仿宋_GB2312"/>
                <w:bCs/>
                <w:sz w:val="24"/>
                <w:szCs w:val="24"/>
                <w:lang w:val="en-US" w:eastAsia="zh-CN"/>
              </w:rPr>
              <w:t>专业特色</w:t>
            </w:r>
            <w:r>
              <w:rPr>
                <w:rFonts w:hint="eastAsia" w:ascii="仿宋_GB2312" w:hAnsi="仿宋_GB2312" w:eastAsia="仿宋_GB2312" w:cs="仿宋_GB2312"/>
                <w:bCs/>
                <w:sz w:val="24"/>
                <w:szCs w:val="24"/>
                <w:lang w:val="en-US" w:eastAsia="zh-CN"/>
              </w:rPr>
              <w:t>搭建符合专业的</w:t>
            </w:r>
            <w:r>
              <w:rPr>
                <w:rFonts w:hint="default" w:ascii="仿宋_GB2312" w:hAnsi="仿宋_GB2312" w:eastAsia="仿宋_GB2312" w:cs="仿宋_GB2312"/>
                <w:bCs/>
                <w:sz w:val="24"/>
                <w:szCs w:val="24"/>
                <w:lang w:val="en-US" w:eastAsia="zh-CN"/>
              </w:rPr>
              <w:t>平台界面效果</w:t>
            </w:r>
            <w:r>
              <w:rPr>
                <w:rFonts w:hint="eastAsia" w:ascii="仿宋_GB2312" w:hAnsi="仿宋_GB2312" w:eastAsia="仿宋_GB2312" w:cs="仿宋_GB2312"/>
                <w:bCs/>
                <w:sz w:val="24"/>
                <w:szCs w:val="24"/>
                <w:lang w:val="en-US" w:eastAsia="zh-CN"/>
              </w:rPr>
              <w:t>，能够做到</w:t>
            </w:r>
            <w:r>
              <w:rPr>
                <w:rFonts w:hint="default" w:ascii="仿宋_GB2312" w:hAnsi="仿宋_GB2312" w:eastAsia="仿宋_GB2312" w:cs="仿宋_GB2312"/>
                <w:bCs/>
                <w:sz w:val="24"/>
                <w:szCs w:val="24"/>
                <w:lang w:val="en-US" w:eastAsia="zh-CN"/>
              </w:rPr>
              <w:t>功能模块完善</w:t>
            </w:r>
            <w:r>
              <w:rPr>
                <w:rFonts w:hint="eastAsia" w:ascii="仿宋_GB2312" w:hAnsi="仿宋_GB2312" w:eastAsia="仿宋_GB2312" w:cs="仿宋_GB2312"/>
                <w:bCs/>
                <w:sz w:val="24"/>
                <w:szCs w:val="24"/>
                <w:lang w:val="en-US" w:eastAsia="zh-CN"/>
              </w:rPr>
              <w:t>、</w:t>
            </w:r>
            <w:r>
              <w:rPr>
                <w:rFonts w:hint="default" w:ascii="仿宋_GB2312" w:hAnsi="仿宋_GB2312" w:eastAsia="仿宋_GB2312" w:cs="仿宋_GB2312"/>
                <w:bCs/>
                <w:sz w:val="24"/>
                <w:szCs w:val="24"/>
                <w:lang w:val="en-US" w:eastAsia="zh-CN"/>
              </w:rPr>
              <w:t>色彩美观</w:t>
            </w:r>
            <w:r>
              <w:rPr>
                <w:rFonts w:hint="eastAsia" w:ascii="仿宋_GB2312" w:hAnsi="仿宋_GB2312" w:eastAsia="仿宋_GB2312" w:cs="仿宋_GB2312"/>
                <w:bCs/>
                <w:sz w:val="24"/>
                <w:szCs w:val="24"/>
                <w:lang w:val="en-US" w:eastAsia="zh-CN"/>
              </w:rPr>
              <w:t>、</w:t>
            </w:r>
            <w:r>
              <w:rPr>
                <w:rFonts w:hint="default" w:ascii="仿宋_GB2312" w:hAnsi="仿宋_GB2312" w:eastAsia="仿宋_GB2312" w:cs="仿宋_GB2312"/>
                <w:bCs/>
                <w:sz w:val="24"/>
                <w:szCs w:val="24"/>
                <w:lang w:val="en-US" w:eastAsia="zh-CN"/>
              </w:rPr>
              <w:t>重点模块突出</w:t>
            </w:r>
            <w:r>
              <w:rPr>
                <w:rFonts w:hint="eastAsia" w:ascii="仿宋_GB2312" w:hAnsi="仿宋_GB2312" w:eastAsia="仿宋_GB2312" w:cs="仿宋_GB2312"/>
                <w:bCs/>
                <w:sz w:val="24"/>
                <w:szCs w:val="24"/>
                <w:lang w:val="en-US" w:eastAsia="zh-CN"/>
              </w:rPr>
              <w:t>、</w:t>
            </w:r>
            <w:r>
              <w:rPr>
                <w:rFonts w:hint="default" w:ascii="仿宋_GB2312" w:hAnsi="仿宋_GB2312" w:eastAsia="仿宋_GB2312" w:cs="仿宋_GB2312"/>
                <w:bCs/>
                <w:sz w:val="24"/>
                <w:szCs w:val="24"/>
                <w:lang w:val="en-US" w:eastAsia="zh-CN"/>
              </w:rPr>
              <w:t>友好的用户体验界面设计</w:t>
            </w:r>
            <w:r>
              <w:rPr>
                <w:rFonts w:hint="eastAsia" w:ascii="仿宋_GB2312" w:hAnsi="仿宋_GB2312" w:eastAsia="仿宋_GB2312" w:cs="仿宋_GB2312"/>
                <w:bCs/>
                <w:sz w:val="24"/>
                <w:szCs w:val="24"/>
                <w:lang w:val="en-US" w:eastAsia="zh-CN"/>
              </w:rPr>
              <w:t>，符合大赛规则中关于教学平台的相关要求</w:t>
            </w:r>
            <w:r>
              <w:rPr>
                <w:rFonts w:hint="default" w:ascii="仿宋_GB2312" w:hAnsi="仿宋_GB2312" w:eastAsia="仿宋_GB2312" w:cs="仿宋_GB2312"/>
                <w:bCs/>
                <w:sz w:val="24"/>
                <w:szCs w:val="24"/>
                <w:lang w:val="en-US" w:eastAsia="zh-CN"/>
              </w:rPr>
              <w:t>。</w:t>
            </w:r>
          </w:p>
        </w:tc>
        <w:tc>
          <w:tcPr>
            <w:tcW w:w="846" w:type="dxa"/>
            <w:tcBorders>
              <w:top w:val="single" w:color="auto" w:sz="4" w:space="0"/>
              <w:left w:val="single" w:color="auto" w:sz="4" w:space="0"/>
              <w:bottom w:val="single" w:color="auto" w:sz="4" w:space="0"/>
              <w:right w:val="single" w:color="auto" w:sz="4" w:space="0"/>
            </w:tcBorders>
            <w:vAlign w:val="center"/>
          </w:tcPr>
          <w:p w14:paraId="0DABAFA9">
            <w:pPr>
              <w:spacing w:line="380" w:lineRule="exact"/>
              <w:ind w:right="-57" w:rightChars="-27"/>
              <w:jc w:val="center"/>
              <w:rPr>
                <w:rFonts w:hint="eastAsia" w:ascii="仿宋_GB2312" w:hAnsi="仿宋_GB2312" w:eastAsia="仿宋_GB2312" w:cs="仿宋_GB2312"/>
                <w:bCs/>
                <w:sz w:val="24"/>
                <w:szCs w:val="24"/>
              </w:rPr>
            </w:pPr>
            <w:r>
              <w:rPr>
                <w:rFonts w:hint="eastAsia" w:ascii="仿宋_GB2312" w:hAnsi="仿宋_GB2312" w:eastAsia="仿宋_GB2312" w:cs="仿宋_GB2312"/>
                <w:color w:val="000000"/>
                <w:sz w:val="24"/>
                <w:szCs w:val="24"/>
              </w:rPr>
              <w:t>4</w:t>
            </w:r>
          </w:p>
        </w:tc>
        <w:tc>
          <w:tcPr>
            <w:tcW w:w="818" w:type="dxa"/>
            <w:tcBorders>
              <w:top w:val="single" w:color="auto" w:sz="4" w:space="0"/>
              <w:left w:val="single" w:color="auto" w:sz="4" w:space="0"/>
              <w:bottom w:val="single" w:color="auto" w:sz="4" w:space="0"/>
              <w:right w:val="single" w:color="auto" w:sz="4" w:space="0"/>
            </w:tcBorders>
            <w:vAlign w:val="center"/>
          </w:tcPr>
          <w:p w14:paraId="537F23C5">
            <w:pPr>
              <w:spacing w:line="380" w:lineRule="exact"/>
              <w:ind w:right="-57" w:rightChars="-27"/>
              <w:jc w:val="center"/>
              <w:rPr>
                <w:rFonts w:hint="eastAsia" w:ascii="仿宋_GB2312" w:hAnsi="仿宋_GB2312" w:eastAsia="仿宋_GB2312" w:cs="仿宋_GB2312"/>
                <w:bCs/>
                <w:sz w:val="24"/>
                <w:szCs w:val="24"/>
              </w:rPr>
            </w:pPr>
            <w:r>
              <w:rPr>
                <w:rFonts w:hint="eastAsia" w:ascii="仿宋_GB2312" w:hAnsi="仿宋_GB2312" w:eastAsia="仿宋_GB2312" w:cs="仿宋_GB2312"/>
                <w:color w:val="000000"/>
                <w:sz w:val="24"/>
                <w:szCs w:val="24"/>
              </w:rPr>
              <w:t>门</w:t>
            </w:r>
          </w:p>
        </w:tc>
        <w:tc>
          <w:tcPr>
            <w:tcW w:w="845" w:type="dxa"/>
            <w:tcBorders>
              <w:top w:val="single" w:color="auto" w:sz="4" w:space="0"/>
              <w:left w:val="single" w:color="auto" w:sz="4" w:space="0"/>
              <w:bottom w:val="single" w:color="auto" w:sz="4" w:space="0"/>
              <w:right w:val="single" w:color="auto" w:sz="4" w:space="0"/>
            </w:tcBorders>
            <w:vAlign w:val="center"/>
          </w:tcPr>
          <w:p w14:paraId="3E6FB836">
            <w:pPr>
              <w:spacing w:line="380" w:lineRule="exact"/>
              <w:ind w:right="-57" w:rightChars="-27"/>
              <w:jc w:val="center"/>
              <w:rPr>
                <w:rFonts w:hint="eastAsia" w:ascii="仿宋_GB2312" w:hAnsi="仿宋_GB2312" w:eastAsia="仿宋_GB2312" w:cs="仿宋_GB2312"/>
                <w:bCs/>
                <w:sz w:val="24"/>
                <w:szCs w:val="24"/>
              </w:rPr>
            </w:pPr>
            <w:r>
              <w:rPr>
                <w:rFonts w:hint="eastAsia" w:ascii="仿宋_GB2312" w:hAnsi="仿宋_GB2312" w:eastAsia="仿宋_GB2312" w:cs="仿宋_GB2312"/>
                <w:color w:val="000000"/>
                <w:sz w:val="24"/>
                <w:szCs w:val="24"/>
              </w:rPr>
              <w:t>4000</w:t>
            </w:r>
          </w:p>
        </w:tc>
        <w:tc>
          <w:tcPr>
            <w:tcW w:w="955" w:type="dxa"/>
            <w:tcBorders>
              <w:top w:val="single" w:color="auto" w:sz="4" w:space="0"/>
              <w:left w:val="single" w:color="auto" w:sz="4" w:space="0"/>
              <w:bottom w:val="single" w:color="auto" w:sz="4" w:space="0"/>
              <w:right w:val="single" w:color="auto" w:sz="4" w:space="0"/>
            </w:tcBorders>
            <w:vAlign w:val="center"/>
          </w:tcPr>
          <w:p w14:paraId="06056C7D">
            <w:pPr>
              <w:spacing w:line="380" w:lineRule="exact"/>
              <w:ind w:right="-57" w:rightChars="-27"/>
              <w:jc w:val="center"/>
              <w:rPr>
                <w:rFonts w:hint="eastAsia" w:ascii="仿宋_GB2312" w:hAnsi="仿宋_GB2312" w:eastAsia="仿宋_GB2312" w:cs="仿宋_GB2312"/>
                <w:bCs/>
                <w:sz w:val="24"/>
                <w:szCs w:val="24"/>
              </w:rPr>
            </w:pPr>
            <w:r>
              <w:rPr>
                <w:rFonts w:hint="eastAsia" w:ascii="仿宋_GB2312" w:hAnsi="仿宋_GB2312" w:eastAsia="仿宋_GB2312" w:cs="仿宋_GB2312"/>
                <w:color w:val="000000"/>
                <w:sz w:val="24"/>
                <w:szCs w:val="24"/>
              </w:rPr>
              <w:t>16000</w:t>
            </w:r>
          </w:p>
        </w:tc>
      </w:tr>
      <w:tr w14:paraId="79C67C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64" w:type="dxa"/>
            <w:tcBorders>
              <w:top w:val="single" w:color="auto" w:sz="4" w:space="0"/>
              <w:left w:val="single" w:color="auto" w:sz="4" w:space="0"/>
              <w:bottom w:val="single" w:color="auto" w:sz="4" w:space="0"/>
              <w:right w:val="single" w:color="auto" w:sz="4" w:space="0"/>
            </w:tcBorders>
            <w:vAlign w:val="center"/>
          </w:tcPr>
          <w:p w14:paraId="6B9BA669">
            <w:pPr>
              <w:spacing w:line="380" w:lineRule="exact"/>
              <w:ind w:right="-57" w:rightChars="-27"/>
              <w:jc w:val="center"/>
              <w:rPr>
                <w:rFonts w:hint="eastAsia" w:ascii="宋体" w:hAnsi="宋体"/>
                <w:bCs/>
                <w:sz w:val="24"/>
                <w:szCs w:val="24"/>
              </w:rPr>
            </w:pPr>
            <w:r>
              <w:rPr>
                <w:rFonts w:hint="eastAsia" w:ascii="宋体" w:hAnsi="宋体"/>
                <w:bCs/>
                <w:sz w:val="24"/>
                <w:szCs w:val="24"/>
              </w:rPr>
              <w:t>合计</w:t>
            </w:r>
          </w:p>
        </w:tc>
        <w:tc>
          <w:tcPr>
            <w:tcW w:w="1296" w:type="dxa"/>
            <w:tcBorders>
              <w:top w:val="single" w:color="auto" w:sz="4" w:space="0"/>
              <w:left w:val="single" w:color="auto" w:sz="4" w:space="0"/>
              <w:bottom w:val="single" w:color="auto" w:sz="4" w:space="0"/>
              <w:right w:val="single" w:color="auto" w:sz="4" w:space="0"/>
            </w:tcBorders>
            <w:vAlign w:val="center"/>
          </w:tcPr>
          <w:p w14:paraId="02A3036E">
            <w:pPr>
              <w:spacing w:line="380" w:lineRule="exact"/>
              <w:ind w:right="-57" w:rightChars="-27"/>
              <w:jc w:val="center"/>
              <w:rPr>
                <w:rFonts w:hint="eastAsia" w:ascii="宋体" w:hAnsi="宋体"/>
                <w:bCs/>
                <w:sz w:val="24"/>
                <w:szCs w:val="24"/>
              </w:rPr>
            </w:pPr>
          </w:p>
        </w:tc>
        <w:tc>
          <w:tcPr>
            <w:tcW w:w="4513" w:type="dxa"/>
            <w:tcBorders>
              <w:top w:val="single" w:color="auto" w:sz="4" w:space="0"/>
              <w:left w:val="single" w:color="auto" w:sz="4" w:space="0"/>
              <w:bottom w:val="single" w:color="auto" w:sz="4" w:space="0"/>
              <w:right w:val="single" w:color="auto" w:sz="4" w:space="0"/>
            </w:tcBorders>
            <w:vAlign w:val="center"/>
          </w:tcPr>
          <w:p w14:paraId="560EE514">
            <w:pPr>
              <w:spacing w:line="380" w:lineRule="exact"/>
              <w:ind w:right="-57" w:rightChars="-27"/>
              <w:jc w:val="center"/>
              <w:rPr>
                <w:rFonts w:hint="eastAsia" w:ascii="宋体" w:hAnsi="宋体"/>
                <w:bCs/>
                <w:sz w:val="24"/>
                <w:szCs w:val="24"/>
              </w:rPr>
            </w:pPr>
          </w:p>
        </w:tc>
        <w:tc>
          <w:tcPr>
            <w:tcW w:w="846" w:type="dxa"/>
            <w:tcBorders>
              <w:top w:val="single" w:color="auto" w:sz="4" w:space="0"/>
              <w:left w:val="single" w:color="auto" w:sz="4" w:space="0"/>
              <w:bottom w:val="single" w:color="auto" w:sz="4" w:space="0"/>
              <w:right w:val="single" w:color="auto" w:sz="4" w:space="0"/>
            </w:tcBorders>
            <w:vAlign w:val="center"/>
          </w:tcPr>
          <w:p w14:paraId="4EE04CAE">
            <w:pPr>
              <w:spacing w:line="380" w:lineRule="exact"/>
              <w:ind w:right="-57" w:rightChars="-27"/>
              <w:jc w:val="center"/>
              <w:rPr>
                <w:rFonts w:hint="eastAsia" w:ascii="宋体" w:hAnsi="宋体"/>
                <w:bCs/>
                <w:sz w:val="24"/>
                <w:szCs w:val="24"/>
              </w:rPr>
            </w:pPr>
          </w:p>
        </w:tc>
        <w:tc>
          <w:tcPr>
            <w:tcW w:w="818" w:type="dxa"/>
            <w:tcBorders>
              <w:top w:val="single" w:color="auto" w:sz="4" w:space="0"/>
              <w:left w:val="single" w:color="auto" w:sz="4" w:space="0"/>
              <w:bottom w:val="single" w:color="auto" w:sz="4" w:space="0"/>
              <w:right w:val="single" w:color="auto" w:sz="4" w:space="0"/>
            </w:tcBorders>
            <w:vAlign w:val="center"/>
          </w:tcPr>
          <w:p w14:paraId="21464DE5">
            <w:pPr>
              <w:spacing w:line="380" w:lineRule="exact"/>
              <w:ind w:right="-57" w:rightChars="-27"/>
              <w:jc w:val="center"/>
              <w:rPr>
                <w:rFonts w:hint="eastAsia" w:ascii="宋体" w:hAnsi="宋体"/>
                <w:bCs/>
                <w:sz w:val="24"/>
                <w:szCs w:val="24"/>
              </w:rPr>
            </w:pPr>
          </w:p>
        </w:tc>
        <w:tc>
          <w:tcPr>
            <w:tcW w:w="845" w:type="dxa"/>
            <w:tcBorders>
              <w:top w:val="single" w:color="auto" w:sz="4" w:space="0"/>
              <w:left w:val="single" w:color="auto" w:sz="4" w:space="0"/>
              <w:bottom w:val="single" w:color="auto" w:sz="4" w:space="0"/>
              <w:right w:val="single" w:color="auto" w:sz="4" w:space="0"/>
            </w:tcBorders>
            <w:vAlign w:val="center"/>
          </w:tcPr>
          <w:p w14:paraId="219FA361">
            <w:pPr>
              <w:spacing w:line="380" w:lineRule="exact"/>
              <w:ind w:right="-57" w:rightChars="-27"/>
              <w:jc w:val="center"/>
              <w:rPr>
                <w:rFonts w:hint="eastAsia" w:ascii="宋体" w:hAnsi="宋体"/>
                <w:bCs/>
                <w:sz w:val="24"/>
                <w:szCs w:val="24"/>
              </w:rPr>
            </w:pPr>
          </w:p>
        </w:tc>
        <w:tc>
          <w:tcPr>
            <w:tcW w:w="955" w:type="dxa"/>
            <w:tcBorders>
              <w:top w:val="single" w:color="auto" w:sz="4" w:space="0"/>
              <w:left w:val="single" w:color="auto" w:sz="4" w:space="0"/>
              <w:bottom w:val="single" w:color="auto" w:sz="4" w:space="0"/>
              <w:right w:val="single" w:color="auto" w:sz="4" w:space="0"/>
            </w:tcBorders>
            <w:vAlign w:val="center"/>
          </w:tcPr>
          <w:p w14:paraId="72F99D5D">
            <w:pPr>
              <w:spacing w:line="380" w:lineRule="exact"/>
              <w:ind w:right="-57" w:rightChars="-27"/>
              <w:jc w:val="center"/>
              <w:rPr>
                <w:rFonts w:hint="eastAsia" w:ascii="宋体" w:hAnsi="宋体"/>
                <w:bCs/>
                <w:sz w:val="24"/>
                <w:szCs w:val="24"/>
              </w:rPr>
            </w:pPr>
            <w:r>
              <w:rPr>
                <w:rFonts w:hint="eastAsia" w:ascii="宋体" w:hAnsi="宋体"/>
                <w:bCs/>
                <w:sz w:val="24"/>
                <w:szCs w:val="24"/>
              </w:rPr>
              <w:t>200000</w:t>
            </w:r>
          </w:p>
        </w:tc>
      </w:tr>
    </w:tbl>
    <w:p w14:paraId="72B0ABF3"/>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3492395"/>
    <w:multiLevelType w:val="singleLevel"/>
    <w:tmpl w:val="C3492395"/>
    <w:lvl w:ilvl="0" w:tentative="0">
      <w:start w:val="1"/>
      <w:numFmt w:val="decimal"/>
      <w:lvlText w:val="%1."/>
      <w:lvlJc w:val="left"/>
      <w:pPr>
        <w:tabs>
          <w:tab w:val="left" w:pos="312"/>
        </w:tabs>
      </w:pPr>
    </w:lvl>
  </w:abstractNum>
  <w:abstractNum w:abstractNumId="1">
    <w:nsid w:val="D871BA26"/>
    <w:multiLevelType w:val="singleLevel"/>
    <w:tmpl w:val="D871BA26"/>
    <w:lvl w:ilvl="0" w:tentative="0">
      <w:start w:val="1"/>
      <w:numFmt w:val="decimal"/>
      <w:lvlText w:val="%1."/>
      <w:lvlJc w:val="left"/>
      <w:pPr>
        <w:tabs>
          <w:tab w:val="left" w:pos="312"/>
        </w:tabs>
      </w:pPr>
    </w:lvl>
  </w:abstractNum>
  <w:abstractNum w:abstractNumId="2">
    <w:nsid w:val="1B1BB760"/>
    <w:multiLevelType w:val="singleLevel"/>
    <w:tmpl w:val="1B1BB760"/>
    <w:lvl w:ilvl="0" w:tentative="0">
      <w:start w:val="1"/>
      <w:numFmt w:val="decimal"/>
      <w:lvlText w:val="%1."/>
      <w:lvlJc w:val="left"/>
      <w:pPr>
        <w:tabs>
          <w:tab w:val="left" w:pos="312"/>
        </w:tabs>
      </w:pPr>
    </w:lvl>
  </w:abstractNum>
  <w:abstractNum w:abstractNumId="3">
    <w:nsid w:val="5F1B1639"/>
    <w:multiLevelType w:val="singleLevel"/>
    <w:tmpl w:val="5F1B1639"/>
    <w:lvl w:ilvl="0" w:tentative="0">
      <w:start w:val="1"/>
      <w:numFmt w:val="decimal"/>
      <w:lvlText w:val="%1."/>
      <w:lvlJc w:val="left"/>
      <w:pPr>
        <w:tabs>
          <w:tab w:val="left" w:pos="312"/>
        </w:tabs>
      </w:p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EyNWNlYmM4Zjc0NjBhZWI1MDY4ZjJhMjMxYjIzZGQifQ=="/>
  </w:docVars>
  <w:rsids>
    <w:rsidRoot w:val="63EB193E"/>
    <w:rsid w:val="63EB19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